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191D" w14:textId="6CA5D7D9" w:rsidR="00AB67A8" w:rsidRDefault="00D740E1" w:rsidP="00D740E1">
      <w:pPr>
        <w:jc w:val="right"/>
        <w:rPr>
          <w:rFonts w:ascii="Arial" w:hAnsi="Arial" w:cs="Arial"/>
          <w:b/>
          <w:bCs/>
          <w:color w:val="ED7D31" w:themeColor="accent2"/>
          <w:sz w:val="44"/>
          <w:szCs w:val="44"/>
        </w:rPr>
      </w:pPr>
      <w:r w:rsidRPr="003C5502">
        <w:rPr>
          <w:rFonts w:ascii="Arial" w:hAnsi="Arial" w:cs="Arial"/>
          <w:b/>
          <w:bCs/>
          <w:noProof/>
          <w:color w:val="ED7D31" w:themeColor="accent2"/>
          <w:sz w:val="44"/>
          <w:szCs w:val="44"/>
        </w:rPr>
        <w:drawing>
          <wp:anchor distT="0" distB="0" distL="114300" distR="114300" simplePos="0" relativeHeight="251658245" behindDoc="1" locked="0" layoutInCell="1" allowOverlap="1" wp14:anchorId="50FABD67" wp14:editId="3E40EA9D">
            <wp:simplePos x="0" y="0"/>
            <wp:positionH relativeFrom="column">
              <wp:posOffset>-3476625</wp:posOffset>
            </wp:positionH>
            <wp:positionV relativeFrom="paragraph">
              <wp:posOffset>-1047750</wp:posOffset>
            </wp:positionV>
            <wp:extent cx="10220325" cy="1088644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25" cy="1088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DFEE2" w14:textId="561B9BBA" w:rsidR="00D740E1" w:rsidRDefault="00D740E1" w:rsidP="00D740E1">
      <w:pPr>
        <w:jc w:val="right"/>
        <w:rPr>
          <w:rFonts w:ascii="Arial" w:hAnsi="Arial" w:cs="Arial"/>
          <w:b/>
          <w:bCs/>
          <w:color w:val="ED7D31" w:themeColor="accent2"/>
          <w:sz w:val="44"/>
          <w:szCs w:val="44"/>
        </w:rPr>
      </w:pPr>
      <w:r w:rsidRPr="003C5502">
        <w:rPr>
          <w:rFonts w:ascii="Arial" w:hAnsi="Arial" w:cs="Arial"/>
          <w:b/>
          <w:bCs/>
          <w:color w:val="ED7D31" w:themeColor="accent2"/>
          <w:sz w:val="44"/>
          <w:szCs w:val="44"/>
        </w:rPr>
        <w:t>SCTS</w:t>
      </w:r>
    </w:p>
    <w:p w14:paraId="4DC7FFE3" w14:textId="0FF09883" w:rsidR="00D740E1" w:rsidRDefault="00AB67A8" w:rsidP="00D740E1">
      <w:pPr>
        <w:jc w:val="right"/>
        <w:rPr>
          <w:rFonts w:ascii="Arial" w:hAnsi="Arial" w:cs="Arial"/>
          <w:b/>
          <w:bCs/>
          <w:color w:val="ED7D31" w:themeColor="accent2"/>
          <w:sz w:val="44"/>
          <w:szCs w:val="44"/>
        </w:rPr>
      </w:pPr>
      <w:r>
        <w:rPr>
          <w:rFonts w:ascii="Arial" w:hAnsi="Arial" w:cs="Arial"/>
          <w:b/>
          <w:bCs/>
          <w:color w:val="ED7D31" w:themeColor="accent2"/>
          <w:sz w:val="44"/>
          <w:szCs w:val="44"/>
        </w:rPr>
        <w:t>Thoracic Surgery</w:t>
      </w:r>
      <w:r w:rsidRPr="003C5502">
        <w:rPr>
          <w:rFonts w:ascii="Arial" w:hAnsi="Arial" w:cs="Arial"/>
          <w:b/>
          <w:bCs/>
          <w:color w:val="ED7D31" w:themeColor="accent2"/>
          <w:sz w:val="44"/>
          <w:szCs w:val="44"/>
        </w:rPr>
        <w:t xml:space="preserve"> </w:t>
      </w:r>
      <w:r w:rsidR="00D740E1" w:rsidRPr="003C5502">
        <w:rPr>
          <w:rFonts w:ascii="Arial" w:hAnsi="Arial" w:cs="Arial"/>
          <w:b/>
          <w:bCs/>
          <w:color w:val="ED7D31" w:themeColor="accent2"/>
          <w:sz w:val="44"/>
          <w:szCs w:val="44"/>
        </w:rPr>
        <w:t>Survey</w:t>
      </w:r>
    </w:p>
    <w:p w14:paraId="0CB094DD" w14:textId="77777777" w:rsidR="00D740E1" w:rsidRDefault="00D740E1" w:rsidP="00D740E1">
      <w:pPr>
        <w:jc w:val="right"/>
        <w:rPr>
          <w:rFonts w:ascii="Arial" w:hAnsi="Arial" w:cs="Arial"/>
          <w:b/>
          <w:bCs/>
          <w:color w:val="ED7D31" w:themeColor="accent2"/>
          <w:sz w:val="44"/>
          <w:szCs w:val="44"/>
        </w:rPr>
      </w:pPr>
      <w:r w:rsidRPr="003C5502">
        <w:rPr>
          <w:rFonts w:ascii="Arial" w:hAnsi="Arial" w:cs="Arial"/>
          <w:b/>
          <w:bCs/>
          <w:color w:val="ED7D31" w:themeColor="accent2"/>
          <w:sz w:val="44"/>
          <w:szCs w:val="44"/>
        </w:rPr>
        <w:t>2022</w:t>
      </w:r>
    </w:p>
    <w:p w14:paraId="6D4B9D40" w14:textId="07E2C8AA" w:rsidR="00D740E1" w:rsidRDefault="00D740E1" w:rsidP="00D740E1">
      <w:pPr>
        <w:jc w:val="right"/>
        <w:rPr>
          <w:rFonts w:ascii="Arial" w:hAnsi="Arial" w:cs="Arial"/>
          <w:b/>
          <w:bCs/>
          <w:color w:val="ED7D31" w:themeColor="accent2"/>
          <w:sz w:val="44"/>
          <w:szCs w:val="44"/>
        </w:rPr>
      </w:pPr>
    </w:p>
    <w:p w14:paraId="08DC9E95" w14:textId="61AD1F1B" w:rsidR="00D740E1" w:rsidRPr="00D740E1" w:rsidRDefault="00D740E1" w:rsidP="00D740E1">
      <w:pPr>
        <w:jc w:val="right"/>
        <w:rPr>
          <w:rFonts w:ascii="Arial" w:hAnsi="Arial" w:cs="Arial"/>
          <w:b/>
          <w:bCs/>
          <w:color w:val="FFFFFF" w:themeColor="background1"/>
          <w:sz w:val="44"/>
          <w:szCs w:val="44"/>
        </w:rPr>
      </w:pPr>
      <w:r w:rsidRPr="00D740E1">
        <w:rPr>
          <w:rFonts w:ascii="Arial" w:hAnsi="Arial" w:cs="Arial"/>
          <w:b/>
          <w:bCs/>
          <w:color w:val="FFFFFF" w:themeColor="background1"/>
          <w:sz w:val="44"/>
          <w:szCs w:val="44"/>
        </w:rPr>
        <w:t>Part 1: Units</w:t>
      </w:r>
      <w:r w:rsidR="00434313" w:rsidRPr="00434313">
        <w:rPr>
          <w:noProof/>
        </w:rPr>
        <w:t xml:space="preserve"> </w:t>
      </w:r>
    </w:p>
    <w:p w14:paraId="12BC7733" w14:textId="30D15CF2" w:rsidR="00D740E1" w:rsidRDefault="00D740E1" w:rsidP="00D740E1">
      <w:pPr>
        <w:rPr>
          <w:rFonts w:ascii="Arial" w:hAnsi="Arial" w:cs="Arial"/>
          <w:b/>
          <w:bCs/>
          <w:color w:val="ED7D31" w:themeColor="accent2"/>
          <w:sz w:val="44"/>
          <w:szCs w:val="44"/>
        </w:rPr>
      </w:pPr>
    </w:p>
    <w:p w14:paraId="6335946D" w14:textId="09D94968" w:rsidR="00D740E1" w:rsidRPr="003C5502" w:rsidRDefault="00D740E1" w:rsidP="00D740E1">
      <w:pPr>
        <w:rPr>
          <w:rFonts w:ascii="Arial" w:hAnsi="Arial" w:cs="Arial"/>
          <w:b/>
          <w:bCs/>
          <w:color w:val="ED7D31" w:themeColor="accent2"/>
          <w:sz w:val="44"/>
          <w:szCs w:val="44"/>
        </w:rPr>
      </w:pPr>
    </w:p>
    <w:p w14:paraId="198BFC95" w14:textId="35561BD4" w:rsidR="00D740E1" w:rsidRDefault="00434313" w:rsidP="00D740E1">
      <w:pPr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59271" behindDoc="0" locked="0" layoutInCell="1" allowOverlap="1" wp14:anchorId="3560008D" wp14:editId="03E8D76C">
            <wp:simplePos x="0" y="0"/>
            <wp:positionH relativeFrom="column">
              <wp:posOffset>531495</wp:posOffset>
            </wp:positionH>
            <wp:positionV relativeFrom="paragraph">
              <wp:posOffset>159597</wp:posOffset>
            </wp:positionV>
            <wp:extent cx="2134235" cy="2919095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59195" w14:textId="7394FA60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8ED67A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3C6B58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92EC028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18E764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15C610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0031E3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2AAE132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08E245D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815DE85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A06933E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94BA656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63911FA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6736A68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4C5CF4E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3AEADAB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F4933C9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654AED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9C43BA7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83175CC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0C80DDD1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6CA5213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ABB70C0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3E16B63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9E1958C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  <w:r w:rsidRPr="00DA6886">
        <w:rPr>
          <w:rFonts w:ascii="Arial" w:hAnsi="Arial" w:cs="Arial"/>
          <w:b/>
          <w:bCs/>
          <w:color w:val="2F5496" w:themeColor="accent1" w:themeShade="BF"/>
        </w:rPr>
        <w:t xml:space="preserve">Contents </w:t>
      </w:r>
    </w:p>
    <w:p w14:paraId="3E32FADE" w14:textId="77777777" w:rsidR="00D740E1" w:rsidRPr="00DA6886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4CEFCC7" w14:textId="72F0AAFF" w:rsidR="00B31DC1" w:rsidRDefault="00B31DC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Introduction </w:t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</w:p>
    <w:p w14:paraId="53C427DF" w14:textId="7BBF652E" w:rsidR="00B31DC1" w:rsidRPr="00EA0DD8" w:rsidRDefault="00C26BEB" w:rsidP="00EA0DD8">
      <w:pPr>
        <w:spacing w:line="360" w:lineRule="auto"/>
        <w:ind w:right="-33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Authors</w:t>
      </w:r>
      <w:r w:rsidR="00E0338B">
        <w:rPr>
          <w:rFonts w:ascii="Arial" w:hAnsi="Arial" w:cs="Arial"/>
          <w:b/>
          <w:bCs/>
          <w:sz w:val="20"/>
          <w:szCs w:val="20"/>
        </w:rPr>
        <w:t>’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  <w:r w:rsidR="00B31DC1" w:rsidRPr="00EA0DD8">
        <w:rPr>
          <w:rFonts w:ascii="Arial" w:hAnsi="Arial" w:cs="Arial"/>
          <w:b/>
          <w:bCs/>
          <w:sz w:val="20"/>
          <w:szCs w:val="20"/>
        </w:rPr>
        <w:t xml:space="preserve">ntroduction </w:t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B31DC1" w:rsidRPr="00EA0DD8">
        <w:rPr>
          <w:rFonts w:ascii="Arial" w:hAnsi="Arial" w:cs="Arial"/>
          <w:b/>
          <w:bCs/>
          <w:sz w:val="20"/>
          <w:szCs w:val="20"/>
        </w:rPr>
        <w:tab/>
      </w:r>
      <w:r w:rsidR="00F66375">
        <w:rPr>
          <w:rFonts w:ascii="Arial" w:hAnsi="Arial" w:cs="Arial"/>
          <w:b/>
          <w:bCs/>
          <w:sz w:val="20"/>
          <w:szCs w:val="20"/>
        </w:rPr>
        <w:tab/>
      </w:r>
      <w:r w:rsidR="00F66375">
        <w:rPr>
          <w:rFonts w:ascii="Arial" w:hAnsi="Arial" w:cs="Arial"/>
          <w:b/>
          <w:bCs/>
          <w:sz w:val="20"/>
          <w:szCs w:val="20"/>
        </w:rPr>
        <w:tab/>
      </w:r>
      <w:r w:rsidR="005E34D4">
        <w:rPr>
          <w:rFonts w:ascii="Arial" w:hAnsi="Arial" w:cs="Arial"/>
          <w:sz w:val="20"/>
          <w:szCs w:val="20"/>
        </w:rPr>
        <w:t>4</w:t>
      </w:r>
    </w:p>
    <w:p w14:paraId="273A7E17" w14:textId="572EC44C" w:rsidR="00B31DC1" w:rsidRDefault="00B31DC1" w:rsidP="00EA0DD8">
      <w:pPr>
        <w:spacing w:line="360" w:lineRule="auto"/>
        <w:ind w:right="-330" w:firstLine="720"/>
        <w:rPr>
          <w:rFonts w:ascii="Arial" w:hAnsi="Arial" w:cs="Arial"/>
          <w:sz w:val="20"/>
          <w:szCs w:val="20"/>
        </w:rPr>
      </w:pPr>
      <w:r w:rsidRPr="00EA0DD8">
        <w:rPr>
          <w:rFonts w:ascii="Arial" w:hAnsi="Arial" w:cs="Arial"/>
          <w:b/>
          <w:bCs/>
          <w:sz w:val="20"/>
          <w:szCs w:val="20"/>
        </w:rPr>
        <w:t>Abstract</w:t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5E34D4">
        <w:rPr>
          <w:rFonts w:ascii="Arial" w:hAnsi="Arial" w:cs="Arial"/>
          <w:sz w:val="20"/>
          <w:szCs w:val="20"/>
        </w:rPr>
        <w:t>5</w:t>
      </w:r>
    </w:p>
    <w:p w14:paraId="0A03F74D" w14:textId="6AA427E4" w:rsidR="00136CA2" w:rsidRDefault="005E34D4" w:rsidP="00EA0DD8">
      <w:pPr>
        <w:spacing w:line="360" w:lineRule="auto"/>
        <w:ind w:right="-330" w:firstLine="72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Summary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 w:rsidR="00136C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</w:t>
      </w:r>
    </w:p>
    <w:p w14:paraId="5532E843" w14:textId="77777777" w:rsidR="00B31DC1" w:rsidRDefault="00B31DC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</w:p>
    <w:p w14:paraId="1D054163" w14:textId="77777777" w:rsidR="00D740E1" w:rsidRPr="002E185B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2E185B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Section 1: Participating units</w:t>
      </w:r>
    </w:p>
    <w:p w14:paraId="6DAA2DC8" w14:textId="72FB4DA1" w:rsidR="00D740E1" w:rsidRPr="002E185B" w:rsidRDefault="00D740E1" w:rsidP="00D740E1">
      <w:pPr>
        <w:spacing w:line="360" w:lineRule="auto"/>
        <w:ind w:right="-33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of participating SCTS units</w:t>
      </w:r>
      <w:r w:rsidR="00F66375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E34D4">
        <w:rPr>
          <w:rFonts w:ascii="Arial" w:hAnsi="Arial" w:cs="Arial"/>
          <w:color w:val="000000"/>
          <w:sz w:val="20"/>
          <w:szCs w:val="20"/>
        </w:rPr>
        <w:t>8</w:t>
      </w:r>
    </w:p>
    <w:p w14:paraId="34AB420D" w14:textId="77777777" w:rsidR="005E6DF8" w:rsidRPr="005E6DF8" w:rsidRDefault="005E6DF8" w:rsidP="00D740E1">
      <w:pPr>
        <w:spacing w:line="360" w:lineRule="auto"/>
        <w:ind w:right="-330"/>
        <w:rPr>
          <w:rFonts w:ascii="Arial" w:hAnsi="Arial" w:cs="Arial"/>
          <w:color w:val="000000"/>
          <w:sz w:val="20"/>
          <w:szCs w:val="20"/>
        </w:rPr>
      </w:pPr>
    </w:p>
    <w:p w14:paraId="2911B1E2" w14:textId="69EAB5BD" w:rsidR="00046226" w:rsidRDefault="00D740E1" w:rsidP="00046226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2</w:t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: </w:t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Day </w:t>
      </w:r>
      <w:r w:rsidR="000C0168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o</w:t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f Surgery Admission (DOSA)</w:t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</w:t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4A6D37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9</w:t>
      </w:r>
    </w:p>
    <w:p w14:paraId="26E1F7AE" w14:textId="77777777" w:rsidR="00046226" w:rsidRPr="00046226" w:rsidRDefault="00046226" w:rsidP="00046226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</w:p>
    <w:p w14:paraId="45E79A1D" w14:textId="41F58BA7" w:rsidR="00D740E1" w:rsidRPr="009332B4" w:rsidRDefault="00046226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  <w:r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Section</w:t>
      </w:r>
      <w:r w:rsidR="00136CA2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 3</w:t>
      </w:r>
      <w:r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: </w:t>
      </w:r>
      <w:r w:rsidR="00D740E1"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Enhanced Recovery </w:t>
      </w:r>
      <w:r w:rsidR="000C0168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a</w:t>
      </w:r>
      <w:r w:rsidR="000C0168"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fter </w:t>
      </w:r>
      <w:r w:rsidR="00D740E1"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Surgery (ERAS)</w:t>
      </w:r>
      <w:r w:rsidR="00D740E1" w:rsidRPr="00046226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="00D740E1"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740E1"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740E1"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740E1"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740E1"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11</w:t>
      </w:r>
    </w:p>
    <w:p w14:paraId="61102473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3286B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4</w:t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: Thoracic ward structures </w:t>
      </w:r>
    </w:p>
    <w:p w14:paraId="68426623" w14:textId="61D4D922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Dedicated </w:t>
      </w:r>
      <w:r w:rsidR="000C016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</w:t>
      </w:r>
      <w:r w:rsidR="000C0168"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horacic </w:t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surgery ward</w:t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ED7AC2">
        <w:rPr>
          <w:rFonts w:ascii="Arial" w:hAnsi="Arial" w:cs="Arial"/>
          <w:sz w:val="20"/>
          <w:szCs w:val="20"/>
        </w:rPr>
        <w:t>14</w:t>
      </w:r>
    </w:p>
    <w:p w14:paraId="565541AD" w14:textId="48E94FF9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>Dedicated thoracic HDU/post-op recovery area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15</w:t>
      </w:r>
    </w:p>
    <w:p w14:paraId="1FC57872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AA64C8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5</w:t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: Robotic surgery </w:t>
      </w:r>
    </w:p>
    <w:p w14:paraId="24E955C7" w14:textId="5FD102A1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Approval for </w:t>
      </w:r>
      <w:r w:rsidR="000C0168" w:rsidRPr="009332B4">
        <w:rPr>
          <w:rFonts w:ascii="Arial" w:hAnsi="Arial" w:cs="Arial"/>
          <w:b/>
          <w:bCs/>
          <w:color w:val="000000"/>
          <w:sz w:val="20"/>
          <w:szCs w:val="20"/>
        </w:rPr>
        <w:t xml:space="preserve">robotic 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>thoracic surgery programme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17</w:t>
      </w:r>
    </w:p>
    <w:p w14:paraId="268C765B" w14:textId="500F0A8F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C0168">
        <w:rPr>
          <w:rFonts w:ascii="Arial" w:hAnsi="Arial" w:cs="Arial"/>
          <w:b/>
          <w:bCs/>
          <w:color w:val="000000"/>
          <w:sz w:val="20"/>
          <w:szCs w:val="20"/>
        </w:rPr>
        <w:t>Established</w:t>
      </w:r>
      <w:r w:rsidR="000C0168" w:rsidRPr="009332B4">
        <w:rPr>
          <w:rFonts w:ascii="Arial" w:hAnsi="Arial" w:cs="Arial"/>
          <w:b/>
          <w:bCs/>
          <w:color w:val="000000"/>
          <w:sz w:val="20"/>
          <w:szCs w:val="20"/>
        </w:rPr>
        <w:t xml:space="preserve"> robotic 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>thoracic surgery operations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18</w:t>
      </w:r>
    </w:p>
    <w:p w14:paraId="75A54A56" w14:textId="50B8B3B3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0626">
        <w:rPr>
          <w:rFonts w:ascii="Arial" w:hAnsi="Arial" w:cs="Arial"/>
          <w:b/>
          <w:bCs/>
          <w:color w:val="000000"/>
          <w:sz w:val="20"/>
          <w:szCs w:val="20"/>
        </w:rPr>
        <w:t>Robotic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 xml:space="preserve"> system proposed or in use</w:t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06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E062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19</w:t>
      </w:r>
    </w:p>
    <w:p w14:paraId="6121B7CE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954FB2" w14:textId="77777777" w:rsidR="00D740E1" w:rsidRPr="009332B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6</w:t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 xml:space="preserve">: Lung volume reduction </w:t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  <w:r w:rsidRPr="009332B4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ab/>
      </w:r>
    </w:p>
    <w:p w14:paraId="2C1F5527" w14:textId="440A2480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9332B4">
        <w:rPr>
          <w:rFonts w:ascii="Arial" w:hAnsi="Arial" w:cs="Arial"/>
          <w:b/>
          <w:bCs/>
          <w:sz w:val="20"/>
          <w:szCs w:val="20"/>
        </w:rPr>
        <w:t xml:space="preserve">Lung volume reduction </w:t>
      </w:r>
      <w:r w:rsidR="00FA0505">
        <w:rPr>
          <w:rFonts w:ascii="Arial" w:hAnsi="Arial" w:cs="Arial"/>
          <w:b/>
          <w:bCs/>
          <w:sz w:val="20"/>
          <w:szCs w:val="20"/>
        </w:rPr>
        <w:t xml:space="preserve">MDT, valves, </w:t>
      </w:r>
      <w:r w:rsidR="000C0168">
        <w:rPr>
          <w:rFonts w:ascii="Arial" w:hAnsi="Arial" w:cs="Arial"/>
          <w:b/>
          <w:bCs/>
          <w:sz w:val="20"/>
          <w:szCs w:val="20"/>
        </w:rPr>
        <w:t>surgery</w:t>
      </w:r>
      <w:r w:rsidRPr="009332B4">
        <w:rPr>
          <w:rFonts w:ascii="Arial" w:hAnsi="Arial" w:cs="Arial"/>
          <w:b/>
          <w:bCs/>
          <w:sz w:val="20"/>
          <w:szCs w:val="20"/>
        </w:rPr>
        <w:tab/>
      </w:r>
      <w:r w:rsidRPr="009332B4">
        <w:rPr>
          <w:rFonts w:ascii="Arial" w:hAnsi="Arial" w:cs="Arial"/>
          <w:b/>
          <w:bCs/>
          <w:sz w:val="20"/>
          <w:szCs w:val="20"/>
        </w:rPr>
        <w:tab/>
      </w:r>
      <w:r w:rsidRPr="009332B4">
        <w:rPr>
          <w:rFonts w:ascii="Arial" w:hAnsi="Arial" w:cs="Arial"/>
          <w:b/>
          <w:bCs/>
          <w:sz w:val="20"/>
          <w:szCs w:val="20"/>
        </w:rPr>
        <w:tab/>
      </w:r>
      <w:r w:rsidRPr="009332B4">
        <w:rPr>
          <w:rFonts w:ascii="Arial" w:hAnsi="Arial" w:cs="Arial"/>
          <w:b/>
          <w:bCs/>
          <w:sz w:val="20"/>
          <w:szCs w:val="20"/>
        </w:rPr>
        <w:tab/>
      </w:r>
      <w:r w:rsidRPr="009332B4">
        <w:rPr>
          <w:rFonts w:ascii="Arial" w:hAnsi="Arial" w:cs="Arial"/>
          <w:b/>
          <w:bCs/>
          <w:sz w:val="20"/>
          <w:szCs w:val="20"/>
        </w:rPr>
        <w:tab/>
      </w:r>
      <w:r w:rsidR="00B31DC1">
        <w:rPr>
          <w:rFonts w:ascii="Arial" w:hAnsi="Arial" w:cs="Arial"/>
          <w:sz w:val="20"/>
          <w:szCs w:val="20"/>
        </w:rPr>
        <w:tab/>
      </w:r>
      <w:r w:rsidR="00ED7AC2">
        <w:rPr>
          <w:rFonts w:ascii="Arial" w:hAnsi="Arial" w:cs="Arial"/>
          <w:sz w:val="20"/>
          <w:szCs w:val="20"/>
        </w:rPr>
        <w:t>21</w:t>
      </w:r>
    </w:p>
    <w:p w14:paraId="49128BD0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78A91D0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  <w:r w:rsidRPr="007138E8">
        <w:rPr>
          <w:rFonts w:ascii="Arial" w:hAnsi="Arial" w:cs="Arial"/>
          <w:b/>
          <w:bCs/>
          <w:color w:val="2F5496" w:themeColor="accent1" w:themeShade="BF"/>
        </w:rPr>
        <w:t xml:space="preserve">Closing comments </w:t>
      </w:r>
    </w:p>
    <w:p w14:paraId="449B6180" w14:textId="7D2FDA69" w:rsidR="00A23431" w:rsidRPr="00A23431" w:rsidRDefault="00A23431" w:rsidP="00A23431">
      <w:pPr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A23431">
        <w:rPr>
          <w:rFonts w:ascii="Arial" w:hAnsi="Arial" w:cs="Arial"/>
          <w:b/>
          <w:bCs/>
          <w:color w:val="000000"/>
          <w:sz w:val="20"/>
          <w:szCs w:val="20"/>
        </w:rPr>
        <w:t>What would improve your professional life? A word cloud</w:t>
      </w:r>
      <w:r w:rsidR="00D25DE8">
        <w:rPr>
          <w:rFonts w:ascii="Arial" w:hAnsi="Arial" w:cs="Arial"/>
          <w:b/>
          <w:bCs/>
          <w:color w:val="000000"/>
          <w:sz w:val="20"/>
          <w:szCs w:val="20"/>
        </w:rPr>
        <w:t xml:space="preserve"> report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A23431">
        <w:rPr>
          <w:rFonts w:ascii="Arial" w:hAnsi="Arial" w:cs="Arial"/>
          <w:color w:val="000000"/>
          <w:sz w:val="20"/>
          <w:szCs w:val="20"/>
        </w:rPr>
        <w:t>22</w:t>
      </w:r>
    </w:p>
    <w:p w14:paraId="4A08BDF1" w14:textId="77777777" w:rsidR="000E7F9A" w:rsidRDefault="000E7F9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C6B972C" w14:textId="77777777" w:rsidR="000E7F9A" w:rsidRDefault="000E7F9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6935DE8" w14:textId="77777777" w:rsidR="00136CA2" w:rsidRDefault="00136CA2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E866ED6" w14:textId="77777777" w:rsidR="00136CA2" w:rsidRDefault="00136CA2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656F49D" w14:textId="77777777" w:rsidR="00136CA2" w:rsidRDefault="00136CA2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0F30207" w14:textId="77777777" w:rsidR="00136CA2" w:rsidRDefault="00136CA2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5A19BF6" w14:textId="77777777" w:rsidR="00136CA2" w:rsidRDefault="00136CA2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E076C44" w14:textId="77777777" w:rsidR="00D740E1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DD1718C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6FE0A02" w14:textId="0375DDAB" w:rsidR="00A618EA" w:rsidRPr="00211A80" w:rsidRDefault="00434313" w:rsidP="00A618EA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211A80">
        <w:rPr>
          <w:rFonts w:ascii="Arial" w:hAnsi="Arial" w:cs="Arial"/>
          <w:b/>
          <w:bCs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CCEFD66" wp14:editId="48D41E13">
            <wp:simplePos x="0" y="0"/>
            <wp:positionH relativeFrom="column">
              <wp:posOffset>1370965</wp:posOffset>
            </wp:positionH>
            <wp:positionV relativeFrom="paragraph">
              <wp:posOffset>-41865</wp:posOffset>
            </wp:positionV>
            <wp:extent cx="499730" cy="683428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8EA" w:rsidRPr="00211A80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B756CD7" wp14:editId="42DD4BD9">
            <wp:simplePos x="0" y="0"/>
            <wp:positionH relativeFrom="column">
              <wp:posOffset>-6021012</wp:posOffset>
            </wp:positionH>
            <wp:positionV relativeFrom="paragraph">
              <wp:posOffset>-1051560</wp:posOffset>
            </wp:positionV>
            <wp:extent cx="7684230" cy="10886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8EA" w:rsidRPr="00211A80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Introduction</w:t>
      </w:r>
    </w:p>
    <w:p w14:paraId="3AD2DC33" w14:textId="50534B9D" w:rsidR="00A618EA" w:rsidRPr="00211A80" w:rsidRDefault="00301F76" w:rsidP="00A618EA">
      <w:pPr>
        <w:spacing w:line="360" w:lineRule="auto"/>
        <w:ind w:right="-330"/>
        <w:jc w:val="right"/>
        <w:rPr>
          <w:rFonts w:ascii="Arial" w:hAnsi="Arial" w:cs="Arial"/>
          <w:b/>
          <w:bCs/>
        </w:rPr>
      </w:pPr>
      <w:r w:rsidRPr="00211A80">
        <w:rPr>
          <w:rFonts w:ascii="Arial" w:hAnsi="Arial" w:cs="Arial"/>
          <w:b/>
          <w:bCs/>
        </w:rPr>
        <w:t>Authors’</w:t>
      </w:r>
      <w:r w:rsidR="00B705BE" w:rsidRPr="00211A80">
        <w:rPr>
          <w:rFonts w:ascii="Arial" w:hAnsi="Arial" w:cs="Arial"/>
          <w:b/>
          <w:bCs/>
        </w:rPr>
        <w:t xml:space="preserve"> introduction</w:t>
      </w:r>
    </w:p>
    <w:p w14:paraId="46565277" w14:textId="77777777" w:rsidR="00B705BE" w:rsidRPr="00211A80" w:rsidRDefault="00B705BE" w:rsidP="00A618EA">
      <w:pPr>
        <w:spacing w:line="360" w:lineRule="auto"/>
        <w:ind w:right="-330"/>
        <w:jc w:val="right"/>
        <w:rPr>
          <w:rFonts w:ascii="Arial" w:hAnsi="Arial" w:cs="Arial"/>
          <w:b/>
          <w:bCs/>
        </w:rPr>
      </w:pPr>
      <w:r w:rsidRPr="00211A80">
        <w:rPr>
          <w:rFonts w:ascii="Arial" w:hAnsi="Arial" w:cs="Arial"/>
          <w:b/>
          <w:bCs/>
        </w:rPr>
        <w:t>Abstract</w:t>
      </w:r>
    </w:p>
    <w:p w14:paraId="78A67312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499838F" w14:textId="0407E4A5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058CEE8" w14:textId="0A765C26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A065878" w14:textId="6734407E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07CEAA8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342FA90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0B931D63" w14:textId="393C6A9B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5DB25D9" w14:textId="2A6F1B45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347C93A" w14:textId="733948AD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3FF9647" w14:textId="615C8B92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0F350454" w14:textId="3860DA81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FF3B885" w14:textId="7F721446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3FAB463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03E70D5D" w14:textId="65B23CB0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1F862A1" w14:textId="3AA250DB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40EC9D05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0509D2F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FAB0225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E7E18C4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688CA14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8BD47EB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007CD65F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50389F60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7470DCE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BE9544D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153FE36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3E4C61B7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134D8C50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10CA2F2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7CD3D522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65A47488" w14:textId="77777777" w:rsidR="00A618EA" w:rsidRDefault="00A618EA" w:rsidP="00D740E1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</w:p>
    <w:p w14:paraId="2419723C" w14:textId="77777777" w:rsidR="00BA260F" w:rsidRDefault="00BA260F" w:rsidP="00D740E1">
      <w:pPr>
        <w:spacing w:line="360" w:lineRule="auto"/>
        <w:ind w:right="-33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Introduction</w:t>
      </w:r>
    </w:p>
    <w:p w14:paraId="5A5D32D9" w14:textId="77777777" w:rsidR="00BA260F" w:rsidRDefault="00BA260F" w:rsidP="00D740E1">
      <w:pPr>
        <w:spacing w:line="360" w:lineRule="auto"/>
        <w:ind w:right="-330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557CB14D" w14:textId="1D5916AC" w:rsidR="006A0CEF" w:rsidRDefault="000C0168" w:rsidP="00D740E1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A260F" w:rsidRPr="005238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ociety for </w:t>
      </w:r>
      <w:r w:rsidR="00BA260F" w:rsidRPr="0052383C">
        <w:rPr>
          <w:rFonts w:ascii="Arial" w:hAnsi="Arial" w:cs="Arial"/>
        </w:rPr>
        <w:t>C</w:t>
      </w:r>
      <w:r>
        <w:rPr>
          <w:rFonts w:ascii="Arial" w:hAnsi="Arial" w:cs="Arial"/>
        </w:rPr>
        <w:t>ardiothoracic Surgery</w:t>
      </w:r>
      <w:r w:rsidR="009266B2">
        <w:rPr>
          <w:rFonts w:ascii="Arial" w:hAnsi="Arial" w:cs="Arial"/>
        </w:rPr>
        <w:t xml:space="preserve"> (SCTS)</w:t>
      </w:r>
      <w:r w:rsidR="00BA260F" w:rsidRPr="0052383C">
        <w:rPr>
          <w:rFonts w:ascii="Arial" w:hAnsi="Arial" w:cs="Arial"/>
        </w:rPr>
        <w:t xml:space="preserve"> </w:t>
      </w:r>
      <w:r w:rsidR="00DA7A1F" w:rsidRPr="0052383C">
        <w:rPr>
          <w:rFonts w:ascii="Arial" w:hAnsi="Arial" w:cs="Arial"/>
        </w:rPr>
        <w:t xml:space="preserve">is the professional body for cardiothoracic surgery in Great Britain &amp; Ireland. Each of the five </w:t>
      </w:r>
      <w:r w:rsidR="00EB1112">
        <w:rPr>
          <w:rFonts w:ascii="Arial" w:hAnsi="Arial" w:cs="Arial"/>
        </w:rPr>
        <w:t>nation</w:t>
      </w:r>
      <w:r w:rsidR="006D68EE">
        <w:rPr>
          <w:rFonts w:ascii="Arial" w:hAnsi="Arial" w:cs="Arial"/>
        </w:rPr>
        <w:t xml:space="preserve">s’ </w:t>
      </w:r>
      <w:r w:rsidR="00DA7A1F" w:rsidRPr="0052383C">
        <w:rPr>
          <w:rFonts w:ascii="Arial" w:hAnsi="Arial" w:cs="Arial"/>
        </w:rPr>
        <w:t xml:space="preserve">healthcare systems </w:t>
      </w:r>
      <w:r w:rsidR="007D72AE" w:rsidRPr="0052383C">
        <w:rPr>
          <w:rFonts w:ascii="Arial" w:hAnsi="Arial" w:cs="Arial"/>
        </w:rPr>
        <w:t xml:space="preserve">is separate </w:t>
      </w:r>
      <w:r>
        <w:rPr>
          <w:rFonts w:ascii="Arial" w:hAnsi="Arial" w:cs="Arial"/>
        </w:rPr>
        <w:t xml:space="preserve">but </w:t>
      </w:r>
      <w:r w:rsidR="007D72AE" w:rsidRPr="0052383C">
        <w:rPr>
          <w:rFonts w:ascii="Arial" w:hAnsi="Arial" w:cs="Arial"/>
        </w:rPr>
        <w:t xml:space="preserve">related. </w:t>
      </w:r>
      <w:r w:rsidR="00F861DF" w:rsidRPr="0052383C">
        <w:rPr>
          <w:rFonts w:ascii="Arial" w:hAnsi="Arial" w:cs="Arial"/>
        </w:rPr>
        <w:t xml:space="preserve">The </w:t>
      </w:r>
      <w:r w:rsidR="002B5DBF">
        <w:rPr>
          <w:rFonts w:ascii="Arial" w:hAnsi="Arial" w:cs="Arial"/>
        </w:rPr>
        <w:t>COVID-19</w:t>
      </w:r>
      <w:r w:rsidR="007D72AE" w:rsidRPr="0052383C">
        <w:rPr>
          <w:rFonts w:ascii="Arial" w:hAnsi="Arial" w:cs="Arial"/>
        </w:rPr>
        <w:t xml:space="preserve"> </w:t>
      </w:r>
      <w:r w:rsidR="00F861DF" w:rsidRPr="0052383C">
        <w:rPr>
          <w:rFonts w:ascii="Arial" w:hAnsi="Arial" w:cs="Arial"/>
        </w:rPr>
        <w:t xml:space="preserve">pandemic </w:t>
      </w:r>
      <w:r w:rsidR="007D72AE" w:rsidRPr="0052383C">
        <w:rPr>
          <w:rFonts w:ascii="Arial" w:hAnsi="Arial" w:cs="Arial"/>
        </w:rPr>
        <w:t xml:space="preserve">brought about many </w:t>
      </w:r>
      <w:r w:rsidR="00F861DF" w:rsidRPr="0052383C">
        <w:rPr>
          <w:rFonts w:ascii="Arial" w:hAnsi="Arial" w:cs="Arial"/>
        </w:rPr>
        <w:t>changes</w:t>
      </w:r>
      <w:r w:rsidR="0052383C">
        <w:rPr>
          <w:rFonts w:ascii="Arial" w:hAnsi="Arial" w:cs="Arial"/>
        </w:rPr>
        <w:t>,</w:t>
      </w:r>
      <w:r w:rsidR="00F861DF" w:rsidRPr="0052383C">
        <w:rPr>
          <w:rFonts w:ascii="Arial" w:hAnsi="Arial" w:cs="Arial"/>
        </w:rPr>
        <w:t xml:space="preserve"> and recovery is </w:t>
      </w:r>
      <w:r>
        <w:rPr>
          <w:rFonts w:ascii="Arial" w:hAnsi="Arial" w:cs="Arial"/>
        </w:rPr>
        <w:t xml:space="preserve">ongoing </w:t>
      </w:r>
      <w:r w:rsidR="00C63E69" w:rsidRPr="0052383C">
        <w:rPr>
          <w:rFonts w:ascii="Arial" w:hAnsi="Arial" w:cs="Arial"/>
        </w:rPr>
        <w:t xml:space="preserve">with much </w:t>
      </w:r>
      <w:r w:rsidR="0052383C">
        <w:rPr>
          <w:rFonts w:ascii="Arial" w:hAnsi="Arial" w:cs="Arial"/>
        </w:rPr>
        <w:t xml:space="preserve">practice </w:t>
      </w:r>
      <w:r w:rsidR="00C63E69" w:rsidRPr="0052383C">
        <w:rPr>
          <w:rFonts w:ascii="Arial" w:hAnsi="Arial" w:cs="Arial"/>
        </w:rPr>
        <w:t>variation</w:t>
      </w:r>
      <w:r w:rsidR="009266B2">
        <w:rPr>
          <w:rFonts w:ascii="Arial" w:hAnsi="Arial" w:cs="Arial"/>
        </w:rPr>
        <w:t>.</w:t>
      </w:r>
    </w:p>
    <w:p w14:paraId="4F538177" w14:textId="77777777" w:rsidR="006A0CEF" w:rsidRDefault="006A0CEF" w:rsidP="00D740E1">
      <w:pPr>
        <w:spacing w:line="360" w:lineRule="auto"/>
        <w:ind w:right="-330"/>
        <w:rPr>
          <w:rFonts w:ascii="Arial" w:hAnsi="Arial" w:cs="Arial"/>
        </w:rPr>
      </w:pPr>
    </w:p>
    <w:p w14:paraId="2DD87817" w14:textId="473C6643" w:rsidR="006A0CEF" w:rsidRDefault="00F861DF" w:rsidP="00D740E1">
      <w:pPr>
        <w:spacing w:line="360" w:lineRule="auto"/>
        <w:ind w:right="-330"/>
        <w:rPr>
          <w:rFonts w:ascii="Arial" w:hAnsi="Arial" w:cs="Arial"/>
        </w:rPr>
      </w:pPr>
      <w:r w:rsidRPr="0052383C">
        <w:rPr>
          <w:rFonts w:ascii="Arial" w:hAnsi="Arial" w:cs="Arial"/>
        </w:rPr>
        <w:t>Th</w:t>
      </w:r>
      <w:r w:rsidR="00AB67A8">
        <w:rPr>
          <w:rFonts w:ascii="Arial" w:hAnsi="Arial" w:cs="Arial"/>
        </w:rPr>
        <w:t>e</w:t>
      </w:r>
      <w:r w:rsidRPr="0052383C">
        <w:rPr>
          <w:rFonts w:ascii="Arial" w:hAnsi="Arial" w:cs="Arial"/>
        </w:rPr>
        <w:t xml:space="preserve"> </w:t>
      </w:r>
      <w:r w:rsidR="00DA2366">
        <w:rPr>
          <w:rFonts w:ascii="Arial" w:hAnsi="Arial" w:cs="Arial"/>
        </w:rPr>
        <w:t xml:space="preserve">‘Thoracic Surgery Survey’ </w:t>
      </w:r>
      <w:r w:rsidRPr="0052383C">
        <w:rPr>
          <w:rFonts w:ascii="Arial" w:hAnsi="Arial" w:cs="Arial"/>
        </w:rPr>
        <w:t xml:space="preserve">aims to </w:t>
      </w:r>
      <w:r w:rsidR="000C0168">
        <w:rPr>
          <w:rFonts w:ascii="Arial" w:hAnsi="Arial" w:cs="Arial"/>
        </w:rPr>
        <w:t>introduce</w:t>
      </w:r>
      <w:r w:rsidR="000C0168" w:rsidRPr="0052383C">
        <w:rPr>
          <w:rFonts w:ascii="Arial" w:hAnsi="Arial" w:cs="Arial"/>
        </w:rPr>
        <w:t xml:space="preserve"> </w:t>
      </w:r>
      <w:r w:rsidR="00FA4387" w:rsidRPr="0052383C">
        <w:rPr>
          <w:rFonts w:ascii="Arial" w:hAnsi="Arial" w:cs="Arial"/>
        </w:rPr>
        <w:t xml:space="preserve">a </w:t>
      </w:r>
      <w:r w:rsidR="006D68EE">
        <w:rPr>
          <w:rFonts w:ascii="Arial" w:hAnsi="Arial" w:cs="Arial"/>
        </w:rPr>
        <w:t xml:space="preserve">sustainable and </w:t>
      </w:r>
      <w:r w:rsidR="00FA4387" w:rsidRPr="0052383C">
        <w:rPr>
          <w:rFonts w:ascii="Arial" w:hAnsi="Arial" w:cs="Arial"/>
        </w:rPr>
        <w:t xml:space="preserve">recurring </w:t>
      </w:r>
      <w:r w:rsidR="000C0168">
        <w:rPr>
          <w:rFonts w:ascii="Arial" w:hAnsi="Arial" w:cs="Arial"/>
        </w:rPr>
        <w:t>review</w:t>
      </w:r>
      <w:r w:rsidR="000C0168" w:rsidRPr="0052383C">
        <w:rPr>
          <w:rFonts w:ascii="Arial" w:hAnsi="Arial" w:cs="Arial"/>
        </w:rPr>
        <w:t xml:space="preserve"> </w:t>
      </w:r>
      <w:r w:rsidR="00FA4387" w:rsidRPr="0052383C">
        <w:rPr>
          <w:rFonts w:ascii="Arial" w:hAnsi="Arial" w:cs="Arial"/>
        </w:rPr>
        <w:t xml:space="preserve">of </w:t>
      </w:r>
      <w:r w:rsidR="000C0168">
        <w:rPr>
          <w:rFonts w:ascii="Arial" w:hAnsi="Arial" w:cs="Arial"/>
        </w:rPr>
        <w:t xml:space="preserve">service provision including </w:t>
      </w:r>
      <w:r w:rsidR="006438E6">
        <w:rPr>
          <w:rFonts w:ascii="Arial" w:hAnsi="Arial" w:cs="Arial"/>
        </w:rPr>
        <w:t xml:space="preserve">unit </w:t>
      </w:r>
      <w:r w:rsidR="00D43346">
        <w:rPr>
          <w:rFonts w:ascii="Arial" w:hAnsi="Arial" w:cs="Arial"/>
        </w:rPr>
        <w:t>resource</w:t>
      </w:r>
      <w:r w:rsidR="000C0168">
        <w:rPr>
          <w:rFonts w:ascii="Arial" w:hAnsi="Arial" w:cs="Arial"/>
        </w:rPr>
        <w:t>s</w:t>
      </w:r>
      <w:r w:rsidR="00617FCA">
        <w:rPr>
          <w:rFonts w:ascii="Arial" w:hAnsi="Arial" w:cs="Arial"/>
        </w:rPr>
        <w:t>, organisation</w:t>
      </w:r>
      <w:r w:rsidR="000C0168">
        <w:rPr>
          <w:rFonts w:ascii="Arial" w:hAnsi="Arial" w:cs="Arial"/>
        </w:rPr>
        <w:t>,</w:t>
      </w:r>
      <w:r w:rsidR="00D43346">
        <w:rPr>
          <w:rFonts w:ascii="Arial" w:hAnsi="Arial" w:cs="Arial"/>
        </w:rPr>
        <w:t xml:space="preserve"> and </w:t>
      </w:r>
      <w:r w:rsidR="006438E6">
        <w:rPr>
          <w:rFonts w:ascii="Arial" w:hAnsi="Arial" w:cs="Arial"/>
        </w:rPr>
        <w:t>workforce</w:t>
      </w:r>
      <w:r w:rsidR="000C0168">
        <w:rPr>
          <w:rFonts w:ascii="Arial" w:hAnsi="Arial" w:cs="Arial"/>
        </w:rPr>
        <w:t>.</w:t>
      </w:r>
      <w:r w:rsidR="006438E6">
        <w:rPr>
          <w:rFonts w:ascii="Arial" w:hAnsi="Arial" w:cs="Arial"/>
        </w:rPr>
        <w:t xml:space="preserve"> </w:t>
      </w:r>
      <w:r w:rsidR="000C0168">
        <w:rPr>
          <w:rFonts w:ascii="Arial" w:hAnsi="Arial" w:cs="Arial"/>
        </w:rPr>
        <w:t>The survey will provide</w:t>
      </w:r>
      <w:r w:rsidR="006E655A" w:rsidRPr="0052383C">
        <w:rPr>
          <w:rFonts w:ascii="Arial" w:hAnsi="Arial" w:cs="Arial"/>
        </w:rPr>
        <w:t xml:space="preserve"> a bas</w:t>
      </w:r>
      <w:r w:rsidR="000C0168">
        <w:rPr>
          <w:rFonts w:ascii="Arial" w:hAnsi="Arial" w:cs="Arial"/>
        </w:rPr>
        <w:t>eline</w:t>
      </w:r>
      <w:r w:rsidR="006E655A" w:rsidRPr="0052383C">
        <w:rPr>
          <w:rFonts w:ascii="Arial" w:hAnsi="Arial" w:cs="Arial"/>
        </w:rPr>
        <w:t xml:space="preserve"> for ongoing </w:t>
      </w:r>
      <w:r w:rsidR="00DA2366">
        <w:rPr>
          <w:rFonts w:ascii="Arial" w:hAnsi="Arial" w:cs="Arial"/>
        </w:rPr>
        <w:t>assessments</w:t>
      </w:r>
      <w:r w:rsidR="000C0168">
        <w:rPr>
          <w:rFonts w:ascii="Arial" w:hAnsi="Arial" w:cs="Arial"/>
        </w:rPr>
        <w:t xml:space="preserve"> and can be updated and repeated</w:t>
      </w:r>
      <w:r w:rsidR="0052383C" w:rsidRPr="0052383C">
        <w:rPr>
          <w:rFonts w:ascii="Arial" w:hAnsi="Arial" w:cs="Arial"/>
        </w:rPr>
        <w:t xml:space="preserve"> to </w:t>
      </w:r>
      <w:r w:rsidR="000C0168">
        <w:rPr>
          <w:rFonts w:ascii="Arial" w:hAnsi="Arial" w:cs="Arial"/>
        </w:rPr>
        <w:t xml:space="preserve">identify </w:t>
      </w:r>
      <w:r w:rsidR="0052383C" w:rsidRPr="0052383C">
        <w:rPr>
          <w:rFonts w:ascii="Arial" w:hAnsi="Arial" w:cs="Arial"/>
        </w:rPr>
        <w:t>change</w:t>
      </w:r>
      <w:r w:rsidR="000C0168">
        <w:rPr>
          <w:rFonts w:ascii="Arial" w:hAnsi="Arial" w:cs="Arial"/>
        </w:rPr>
        <w:t>s in practice and service provision</w:t>
      </w:r>
      <w:r w:rsidR="0052383C" w:rsidRPr="0052383C">
        <w:rPr>
          <w:rFonts w:ascii="Arial" w:hAnsi="Arial" w:cs="Arial"/>
        </w:rPr>
        <w:t>.</w:t>
      </w:r>
      <w:r w:rsidR="006438E6">
        <w:rPr>
          <w:rFonts w:ascii="Arial" w:hAnsi="Arial" w:cs="Arial"/>
        </w:rPr>
        <w:t xml:space="preserve"> </w:t>
      </w:r>
      <w:r w:rsidR="000C0168">
        <w:rPr>
          <w:rFonts w:ascii="Arial" w:hAnsi="Arial" w:cs="Arial"/>
        </w:rPr>
        <w:t>P</w:t>
      </w:r>
      <w:r w:rsidR="006438E6">
        <w:rPr>
          <w:rFonts w:ascii="Arial" w:hAnsi="Arial" w:cs="Arial"/>
        </w:rPr>
        <w:t xml:space="preserve">art 1 </w:t>
      </w:r>
      <w:r w:rsidR="00135461">
        <w:rPr>
          <w:rFonts w:ascii="Arial" w:hAnsi="Arial" w:cs="Arial"/>
        </w:rPr>
        <w:t>focuses</w:t>
      </w:r>
      <w:r w:rsidR="00617FCA">
        <w:rPr>
          <w:rFonts w:ascii="Arial" w:hAnsi="Arial" w:cs="Arial"/>
        </w:rPr>
        <w:t xml:space="preserve"> on unit resource</w:t>
      </w:r>
      <w:r w:rsidR="000C0168">
        <w:rPr>
          <w:rFonts w:ascii="Arial" w:hAnsi="Arial" w:cs="Arial"/>
        </w:rPr>
        <w:t>s</w:t>
      </w:r>
      <w:r w:rsidR="00617FCA">
        <w:rPr>
          <w:rFonts w:ascii="Arial" w:hAnsi="Arial" w:cs="Arial"/>
        </w:rPr>
        <w:t xml:space="preserve"> and organisation.</w:t>
      </w:r>
    </w:p>
    <w:p w14:paraId="2E2499E5" w14:textId="77777777" w:rsidR="006A0CEF" w:rsidRDefault="006A0CEF" w:rsidP="00D740E1">
      <w:pPr>
        <w:spacing w:line="360" w:lineRule="auto"/>
        <w:ind w:right="-330"/>
        <w:rPr>
          <w:rFonts w:ascii="Arial" w:hAnsi="Arial" w:cs="Arial"/>
        </w:rPr>
      </w:pPr>
    </w:p>
    <w:p w14:paraId="628B8875" w14:textId="507F81F4" w:rsidR="00D43346" w:rsidRDefault="006A0CEF" w:rsidP="00D740E1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This work</w:t>
      </w:r>
      <w:r w:rsidR="0052383C" w:rsidRPr="0052383C">
        <w:rPr>
          <w:rFonts w:ascii="Arial" w:hAnsi="Arial" w:cs="Arial"/>
        </w:rPr>
        <w:t xml:space="preserve"> represents </w:t>
      </w:r>
      <w:r w:rsidR="000C0168">
        <w:rPr>
          <w:rFonts w:ascii="Arial" w:hAnsi="Arial" w:cs="Arial"/>
        </w:rPr>
        <w:t xml:space="preserve">the </w:t>
      </w:r>
      <w:r w:rsidR="0052383C" w:rsidRPr="0052383C">
        <w:rPr>
          <w:rFonts w:ascii="Arial" w:hAnsi="Arial" w:cs="Arial"/>
        </w:rPr>
        <w:t>considerable effort</w:t>
      </w:r>
      <w:r w:rsidR="000C0168">
        <w:rPr>
          <w:rFonts w:ascii="Arial" w:hAnsi="Arial" w:cs="Arial"/>
        </w:rPr>
        <w:t>s</w:t>
      </w:r>
      <w:r w:rsidR="0052383C" w:rsidRPr="00523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sustained collaboration </w:t>
      </w:r>
      <w:r w:rsidR="0052383C" w:rsidRPr="0052383C">
        <w:rPr>
          <w:rFonts w:ascii="Arial" w:hAnsi="Arial" w:cs="Arial"/>
        </w:rPr>
        <w:t xml:space="preserve">by members of the SCTS </w:t>
      </w:r>
      <w:r w:rsidR="000C0168" w:rsidRPr="0052383C">
        <w:rPr>
          <w:rFonts w:ascii="Arial" w:hAnsi="Arial" w:cs="Arial"/>
        </w:rPr>
        <w:t xml:space="preserve">Thoracic Surgery </w:t>
      </w:r>
      <w:r w:rsidR="000C0168">
        <w:rPr>
          <w:rFonts w:ascii="Arial" w:hAnsi="Arial" w:cs="Arial"/>
        </w:rPr>
        <w:t>sub-</w:t>
      </w:r>
      <w:r w:rsidR="0052383C" w:rsidRPr="0052383C">
        <w:rPr>
          <w:rFonts w:ascii="Arial" w:hAnsi="Arial" w:cs="Arial"/>
        </w:rPr>
        <w:t>committee</w:t>
      </w:r>
      <w:r w:rsidR="00477830">
        <w:rPr>
          <w:rFonts w:ascii="Arial" w:hAnsi="Arial" w:cs="Arial"/>
        </w:rPr>
        <w:t>, the Thoracic Forum</w:t>
      </w:r>
      <w:r w:rsidR="0052383C" w:rsidRPr="0052383C">
        <w:rPr>
          <w:rFonts w:ascii="Arial" w:hAnsi="Arial" w:cs="Arial"/>
        </w:rPr>
        <w:t xml:space="preserve"> and our wider professional community.</w:t>
      </w:r>
    </w:p>
    <w:p w14:paraId="0D8B7CB3" w14:textId="77777777" w:rsidR="002F11FA" w:rsidRDefault="002F11FA" w:rsidP="00D740E1">
      <w:pPr>
        <w:spacing w:line="360" w:lineRule="auto"/>
        <w:ind w:right="-330"/>
        <w:rPr>
          <w:rFonts w:ascii="Arial" w:hAnsi="Arial" w:cs="Arial"/>
        </w:rPr>
      </w:pPr>
    </w:p>
    <w:p w14:paraId="385A8C5B" w14:textId="2688ABCA" w:rsidR="00DA2366" w:rsidRDefault="00DA2366" w:rsidP="00D740E1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Claudia </w:t>
      </w:r>
      <w:proofErr w:type="spellStart"/>
      <w:r>
        <w:rPr>
          <w:rFonts w:ascii="Arial" w:hAnsi="Arial" w:cs="Arial"/>
        </w:rPr>
        <w:t>Pama</w:t>
      </w:r>
      <w:proofErr w:type="spellEnd"/>
      <w:r w:rsidR="00477830">
        <w:rPr>
          <w:rFonts w:ascii="Arial" w:hAnsi="Arial" w:cs="Arial"/>
        </w:rPr>
        <w:tab/>
        <w:t xml:space="preserve">Royal Papworth Hospital </w:t>
      </w:r>
      <w:r w:rsidR="00056601">
        <w:rPr>
          <w:rFonts w:ascii="Arial" w:hAnsi="Arial" w:cs="Arial"/>
        </w:rPr>
        <w:t>Research Fellow</w:t>
      </w:r>
    </w:p>
    <w:p w14:paraId="1A3514C8" w14:textId="53D34BB4" w:rsidR="002F11FA" w:rsidRDefault="00DA2366" w:rsidP="002F11FA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Oliver Harrison</w:t>
      </w:r>
      <w:r w:rsidR="00477830">
        <w:rPr>
          <w:rFonts w:ascii="Arial" w:hAnsi="Arial" w:cs="Arial"/>
        </w:rPr>
        <w:tab/>
        <w:t>C</w:t>
      </w:r>
      <w:r w:rsidR="002F11FA">
        <w:rPr>
          <w:rFonts w:ascii="Arial" w:hAnsi="Arial" w:cs="Arial"/>
        </w:rPr>
        <w:t>hair</w:t>
      </w:r>
      <w:r w:rsidR="002B03EC">
        <w:rPr>
          <w:rFonts w:ascii="Arial" w:hAnsi="Arial" w:cs="Arial"/>
        </w:rPr>
        <w:t xml:space="preserve"> </w:t>
      </w:r>
      <w:r w:rsidR="002F11FA">
        <w:rPr>
          <w:rFonts w:ascii="Arial" w:hAnsi="Arial" w:cs="Arial"/>
        </w:rPr>
        <w:t>SCTS Thoracic Surgery Trainee Committee</w:t>
      </w:r>
    </w:p>
    <w:p w14:paraId="4AF2203D" w14:textId="77777777" w:rsidR="00617FCA" w:rsidRDefault="00617FCA" w:rsidP="00A618EA">
      <w:pPr>
        <w:spacing w:line="360" w:lineRule="auto"/>
        <w:ind w:right="-330"/>
        <w:rPr>
          <w:rFonts w:ascii="Arial" w:hAnsi="Arial" w:cs="Arial"/>
        </w:rPr>
      </w:pPr>
    </w:p>
    <w:p w14:paraId="13714C35" w14:textId="6357E2DB" w:rsidR="00AB67A8" w:rsidRDefault="002F11FA" w:rsidP="00A618EA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Aman Coonar</w:t>
      </w:r>
      <w:r w:rsidR="004778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Trustee &amp; </w:t>
      </w:r>
      <w:r w:rsidR="00477830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2B0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SCTS Thoracic Surgery Committee</w:t>
      </w:r>
    </w:p>
    <w:p w14:paraId="2EC9DF90" w14:textId="77777777" w:rsidR="00617FCA" w:rsidRDefault="00617FCA" w:rsidP="00A618EA">
      <w:pPr>
        <w:spacing w:line="360" w:lineRule="auto"/>
        <w:ind w:right="-330"/>
        <w:rPr>
          <w:rFonts w:ascii="Arial" w:hAnsi="Arial" w:cs="Arial"/>
        </w:rPr>
      </w:pPr>
    </w:p>
    <w:p w14:paraId="3CE48CF9" w14:textId="45CB996E" w:rsidR="00617FCA" w:rsidRDefault="00617FCA" w:rsidP="00A618EA">
      <w:pPr>
        <w:spacing w:line="36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November 2022</w:t>
      </w:r>
    </w:p>
    <w:p w14:paraId="703A121E" w14:textId="4E84A51B" w:rsidR="007A4EC5" w:rsidRPr="00AB67A8" w:rsidRDefault="007A4EC5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F5496" w:themeColor="accent1" w:themeShade="BF"/>
        </w:rPr>
        <w:br w:type="page"/>
      </w:r>
    </w:p>
    <w:p w14:paraId="44A07F8F" w14:textId="2D6AAB4A" w:rsidR="00A618EA" w:rsidRPr="00477830" w:rsidRDefault="00A618EA" w:rsidP="00477830">
      <w:pPr>
        <w:spacing w:line="360" w:lineRule="auto"/>
        <w:ind w:right="-330"/>
        <w:rPr>
          <w:rFonts w:ascii="Arial" w:hAnsi="Arial" w:cs="Arial"/>
          <w:b/>
          <w:bCs/>
          <w:color w:val="2F5496" w:themeColor="accent1" w:themeShade="BF"/>
        </w:rPr>
      </w:pPr>
      <w:r w:rsidRPr="00A618EA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Abstract</w:t>
      </w:r>
    </w:p>
    <w:p w14:paraId="5C4A683D" w14:textId="77777777" w:rsidR="00A618EA" w:rsidRDefault="00A618EA" w:rsidP="00A618EA">
      <w:pPr>
        <w:spacing w:line="360" w:lineRule="auto"/>
        <w:jc w:val="both"/>
        <w:rPr>
          <w:rFonts w:ascii="Arial" w:hAnsi="Arial" w:cs="Arial"/>
        </w:rPr>
      </w:pPr>
    </w:p>
    <w:p w14:paraId="2D8DDD74" w14:textId="1D7E64A1" w:rsidR="00A618EA" w:rsidRPr="00A618EA" w:rsidRDefault="0067452B" w:rsidP="00A618E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Survey of</w:t>
      </w:r>
      <w:r w:rsidR="00A618EA" w:rsidRPr="00A618EA">
        <w:rPr>
          <w:rFonts w:ascii="Arial" w:hAnsi="Arial" w:cs="Arial"/>
          <w:b/>
          <w:bCs/>
        </w:rPr>
        <w:t xml:space="preserve"> thoracic surgery provision across SCTS units in Great Britain and Ireland </w:t>
      </w:r>
      <w:r>
        <w:rPr>
          <w:rFonts w:ascii="Arial" w:hAnsi="Arial" w:cs="Arial"/>
          <w:b/>
          <w:bCs/>
        </w:rPr>
        <w:t>in 2022</w:t>
      </w:r>
    </w:p>
    <w:p w14:paraId="36757732" w14:textId="77777777" w:rsidR="00A618EA" w:rsidRPr="00A618EA" w:rsidRDefault="00A618EA" w:rsidP="00A618EA">
      <w:pPr>
        <w:spacing w:line="360" w:lineRule="auto"/>
        <w:jc w:val="both"/>
        <w:rPr>
          <w:rFonts w:ascii="Arial" w:hAnsi="Arial" w:cs="Arial"/>
        </w:rPr>
      </w:pPr>
    </w:p>
    <w:p w14:paraId="536A7AA7" w14:textId="3C07FEF1" w:rsidR="00A618EA" w:rsidRPr="00A618EA" w:rsidRDefault="00A618EA" w:rsidP="00A618EA">
      <w:pPr>
        <w:spacing w:line="360" w:lineRule="auto"/>
        <w:jc w:val="both"/>
        <w:rPr>
          <w:rFonts w:ascii="Arial" w:hAnsi="Arial" w:cs="Arial"/>
        </w:rPr>
      </w:pPr>
      <w:r w:rsidRPr="00A618EA">
        <w:rPr>
          <w:rFonts w:ascii="Arial" w:hAnsi="Arial" w:cs="Arial"/>
          <w:b/>
          <w:bCs/>
        </w:rPr>
        <w:t>Introduction</w:t>
      </w:r>
      <w:r w:rsidR="0067452B">
        <w:rPr>
          <w:rFonts w:ascii="Arial" w:hAnsi="Arial" w:cs="Arial"/>
          <w:b/>
          <w:bCs/>
        </w:rPr>
        <w:t>:</w:t>
      </w:r>
      <w:r w:rsidRPr="00A618EA">
        <w:rPr>
          <w:rFonts w:ascii="Arial" w:hAnsi="Arial" w:cs="Arial"/>
        </w:rPr>
        <w:t xml:space="preserve"> </w:t>
      </w:r>
      <w:r w:rsidR="0067452B">
        <w:rPr>
          <w:rFonts w:ascii="Arial" w:hAnsi="Arial" w:cs="Arial"/>
        </w:rPr>
        <w:t>The COVID</w:t>
      </w:r>
      <w:r w:rsidR="002B5DBF">
        <w:rPr>
          <w:rFonts w:ascii="Arial" w:hAnsi="Arial" w:cs="Arial"/>
        </w:rPr>
        <w:t>-19</w:t>
      </w:r>
      <w:r w:rsidR="0067452B">
        <w:rPr>
          <w:rFonts w:ascii="Arial" w:hAnsi="Arial" w:cs="Arial"/>
        </w:rPr>
        <w:t xml:space="preserve"> pandemic brought about many changes</w:t>
      </w:r>
      <w:r w:rsidR="000E729D">
        <w:rPr>
          <w:rFonts w:ascii="Arial" w:hAnsi="Arial" w:cs="Arial"/>
        </w:rPr>
        <w:t>. By</w:t>
      </w:r>
      <w:r w:rsidR="00651F6E">
        <w:rPr>
          <w:rFonts w:ascii="Arial" w:hAnsi="Arial" w:cs="Arial"/>
        </w:rPr>
        <w:t xml:space="preserve"> the </w:t>
      </w:r>
      <w:r w:rsidR="000E729D">
        <w:rPr>
          <w:rFonts w:ascii="Arial" w:hAnsi="Arial" w:cs="Arial"/>
        </w:rPr>
        <w:t>Summer of 2022</w:t>
      </w:r>
      <w:r w:rsidR="000C0168">
        <w:rPr>
          <w:rFonts w:ascii="Arial" w:hAnsi="Arial" w:cs="Arial"/>
        </w:rPr>
        <w:t>,</w:t>
      </w:r>
      <w:r w:rsidR="00651F6E">
        <w:rPr>
          <w:rFonts w:ascii="Arial" w:hAnsi="Arial" w:cs="Arial"/>
        </w:rPr>
        <w:t xml:space="preserve"> services </w:t>
      </w:r>
      <w:r w:rsidR="00617FCA">
        <w:rPr>
          <w:rFonts w:ascii="Arial" w:hAnsi="Arial" w:cs="Arial"/>
        </w:rPr>
        <w:t xml:space="preserve">have </w:t>
      </w:r>
      <w:r w:rsidR="00651F6E">
        <w:rPr>
          <w:rFonts w:ascii="Arial" w:hAnsi="Arial" w:cs="Arial"/>
        </w:rPr>
        <w:t>restarted and are adapting to the</w:t>
      </w:r>
      <w:r w:rsidR="0067452B">
        <w:rPr>
          <w:rFonts w:ascii="Arial" w:hAnsi="Arial" w:cs="Arial"/>
        </w:rPr>
        <w:t xml:space="preserve"> ‘new normal’. </w:t>
      </w:r>
      <w:r w:rsidR="0067452B" w:rsidRPr="00A618EA">
        <w:rPr>
          <w:rFonts w:ascii="Arial" w:hAnsi="Arial" w:cs="Arial"/>
        </w:rPr>
        <w:t>To</w:t>
      </w:r>
      <w:r w:rsidRPr="00A618EA">
        <w:rPr>
          <w:rFonts w:ascii="Arial" w:hAnsi="Arial" w:cs="Arial"/>
        </w:rPr>
        <w:t xml:space="preserve"> gain a </w:t>
      </w:r>
      <w:r w:rsidR="000C0168">
        <w:rPr>
          <w:rFonts w:ascii="Arial" w:hAnsi="Arial" w:cs="Arial"/>
        </w:rPr>
        <w:t xml:space="preserve">contemporary </w:t>
      </w:r>
      <w:r w:rsidRPr="00A618EA">
        <w:rPr>
          <w:rFonts w:ascii="Arial" w:hAnsi="Arial" w:cs="Arial"/>
        </w:rPr>
        <w:t xml:space="preserve">overview of thoracic surgery units and </w:t>
      </w:r>
      <w:r w:rsidR="000C0168">
        <w:rPr>
          <w:rFonts w:ascii="Arial" w:hAnsi="Arial" w:cs="Arial"/>
        </w:rPr>
        <w:t xml:space="preserve">their </w:t>
      </w:r>
      <w:r w:rsidRPr="00A618EA">
        <w:rPr>
          <w:rFonts w:ascii="Arial" w:hAnsi="Arial" w:cs="Arial"/>
        </w:rPr>
        <w:t>staffing</w:t>
      </w:r>
      <w:r w:rsidR="000C0168">
        <w:rPr>
          <w:rFonts w:ascii="Arial" w:hAnsi="Arial" w:cs="Arial"/>
        </w:rPr>
        <w:t>,</w:t>
      </w:r>
      <w:r w:rsidRPr="00A618EA">
        <w:rPr>
          <w:rFonts w:ascii="Arial" w:hAnsi="Arial" w:cs="Arial"/>
        </w:rPr>
        <w:t xml:space="preserve"> we conducted an online survey</w:t>
      </w:r>
      <w:r w:rsidR="00AB67A8">
        <w:rPr>
          <w:rFonts w:ascii="Arial" w:hAnsi="Arial" w:cs="Arial"/>
        </w:rPr>
        <w:t>. We aim</w:t>
      </w:r>
      <w:r w:rsidRPr="00A618EA">
        <w:rPr>
          <w:rFonts w:ascii="Arial" w:hAnsi="Arial" w:cs="Arial"/>
        </w:rPr>
        <w:t xml:space="preserve"> to use this information for a rolling process of </w:t>
      </w:r>
      <w:r w:rsidR="00D3424E">
        <w:rPr>
          <w:rFonts w:ascii="Arial" w:hAnsi="Arial" w:cs="Arial"/>
        </w:rPr>
        <w:t xml:space="preserve">benchmarking, </w:t>
      </w:r>
      <w:r w:rsidR="000669CB" w:rsidRPr="00A618EA">
        <w:rPr>
          <w:rFonts w:ascii="Arial" w:hAnsi="Arial" w:cs="Arial"/>
        </w:rPr>
        <w:t>unit resourcing</w:t>
      </w:r>
      <w:r w:rsidR="00815535">
        <w:rPr>
          <w:rFonts w:ascii="Arial" w:hAnsi="Arial" w:cs="Arial"/>
        </w:rPr>
        <w:t xml:space="preserve"> and organisation</w:t>
      </w:r>
      <w:r w:rsidR="000669CB">
        <w:rPr>
          <w:rFonts w:ascii="Arial" w:hAnsi="Arial" w:cs="Arial"/>
        </w:rPr>
        <w:t>,</w:t>
      </w:r>
      <w:r w:rsidR="000669CB" w:rsidRPr="00A618EA">
        <w:rPr>
          <w:rFonts w:ascii="Arial" w:hAnsi="Arial" w:cs="Arial"/>
        </w:rPr>
        <w:t xml:space="preserve"> </w:t>
      </w:r>
      <w:r w:rsidRPr="00A618EA">
        <w:rPr>
          <w:rFonts w:ascii="Arial" w:hAnsi="Arial" w:cs="Arial"/>
        </w:rPr>
        <w:t>workforce planning</w:t>
      </w:r>
      <w:r w:rsidR="00DB772F">
        <w:rPr>
          <w:rFonts w:ascii="Arial" w:hAnsi="Arial" w:cs="Arial"/>
        </w:rPr>
        <w:t>,</w:t>
      </w:r>
      <w:r w:rsidR="009266B2">
        <w:rPr>
          <w:rFonts w:ascii="Arial" w:hAnsi="Arial" w:cs="Arial"/>
        </w:rPr>
        <w:t xml:space="preserve"> </w:t>
      </w:r>
      <w:r w:rsidRPr="00A618EA">
        <w:rPr>
          <w:rFonts w:ascii="Arial" w:hAnsi="Arial" w:cs="Arial"/>
        </w:rPr>
        <w:t xml:space="preserve">and development of standards for thoracic surgery. </w:t>
      </w:r>
    </w:p>
    <w:p w14:paraId="36F02911" w14:textId="77777777" w:rsidR="00A618EA" w:rsidRDefault="00A618EA" w:rsidP="00A618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6644732" w14:textId="2BA2E26E" w:rsidR="00A618EA" w:rsidRPr="00A618EA" w:rsidRDefault="00A618EA" w:rsidP="00A618EA">
      <w:pPr>
        <w:spacing w:line="360" w:lineRule="auto"/>
        <w:jc w:val="both"/>
        <w:rPr>
          <w:rFonts w:ascii="Arial" w:hAnsi="Arial" w:cs="Arial"/>
        </w:rPr>
      </w:pPr>
      <w:r w:rsidRPr="00A618EA">
        <w:rPr>
          <w:rFonts w:ascii="Arial" w:hAnsi="Arial" w:cs="Arial"/>
          <w:b/>
          <w:bCs/>
        </w:rPr>
        <w:t>Methods</w:t>
      </w:r>
      <w:r w:rsidR="0067452B">
        <w:rPr>
          <w:rFonts w:ascii="Arial" w:hAnsi="Arial" w:cs="Arial"/>
          <w:b/>
          <w:bCs/>
        </w:rPr>
        <w:t>:</w:t>
      </w:r>
      <w:r w:rsidRPr="00A618EA">
        <w:rPr>
          <w:rFonts w:ascii="Arial" w:hAnsi="Arial" w:cs="Arial"/>
          <w:b/>
          <w:bCs/>
        </w:rPr>
        <w:t xml:space="preserve"> </w:t>
      </w:r>
      <w:r w:rsidR="0067452B" w:rsidRPr="0067452B">
        <w:rPr>
          <w:rFonts w:ascii="Arial" w:hAnsi="Arial" w:cs="Arial"/>
        </w:rPr>
        <w:t xml:space="preserve">Surveys were developed </w:t>
      </w:r>
      <w:r w:rsidR="00815535">
        <w:rPr>
          <w:rFonts w:ascii="Arial" w:hAnsi="Arial" w:cs="Arial"/>
        </w:rPr>
        <w:t xml:space="preserve">in Google Forms </w:t>
      </w:r>
      <w:r w:rsidR="0067452B" w:rsidRPr="0067452B">
        <w:rPr>
          <w:rFonts w:ascii="Arial" w:hAnsi="Arial" w:cs="Arial"/>
        </w:rPr>
        <w:t xml:space="preserve">by a consensus process which involved circulating the surveys to the ‘Thoracic Forum’ and the SCTS Thoracic Surgery </w:t>
      </w:r>
      <w:r w:rsidR="00DB772F">
        <w:rPr>
          <w:rFonts w:ascii="Arial" w:hAnsi="Arial" w:cs="Arial"/>
        </w:rPr>
        <w:t>s</w:t>
      </w:r>
      <w:r w:rsidR="0067452B" w:rsidRPr="0067452B">
        <w:rPr>
          <w:rFonts w:ascii="Arial" w:hAnsi="Arial" w:cs="Arial"/>
        </w:rPr>
        <w:t>ub</w:t>
      </w:r>
      <w:r w:rsidR="00DB772F">
        <w:rPr>
          <w:rFonts w:ascii="Arial" w:hAnsi="Arial" w:cs="Arial"/>
        </w:rPr>
        <w:t>-</w:t>
      </w:r>
      <w:r w:rsidR="0067452B" w:rsidRPr="0067452B">
        <w:rPr>
          <w:rFonts w:ascii="Arial" w:hAnsi="Arial" w:cs="Arial"/>
        </w:rPr>
        <w:t>committee.</w:t>
      </w:r>
      <w:r w:rsidR="0067452B">
        <w:rPr>
          <w:rFonts w:ascii="Arial" w:hAnsi="Arial" w:cs="Arial"/>
          <w:b/>
          <w:bCs/>
        </w:rPr>
        <w:t xml:space="preserve"> </w:t>
      </w:r>
      <w:r w:rsidR="0067452B" w:rsidRPr="0067452B">
        <w:rPr>
          <w:rFonts w:ascii="Arial" w:hAnsi="Arial" w:cs="Arial"/>
        </w:rPr>
        <w:t>Beta versions were tested and modified before launch.</w:t>
      </w:r>
      <w:r w:rsidR="0067452B">
        <w:rPr>
          <w:rFonts w:ascii="Arial" w:hAnsi="Arial" w:cs="Arial"/>
          <w:b/>
          <w:bCs/>
        </w:rPr>
        <w:t xml:space="preserve"> </w:t>
      </w:r>
      <w:r w:rsidR="0067452B">
        <w:rPr>
          <w:rFonts w:ascii="Arial" w:hAnsi="Arial" w:cs="Arial"/>
        </w:rPr>
        <w:t xml:space="preserve">We designed the surveys </w:t>
      </w:r>
      <w:r w:rsidR="00DB772F">
        <w:rPr>
          <w:rFonts w:ascii="Arial" w:hAnsi="Arial" w:cs="Arial"/>
        </w:rPr>
        <w:t>to</w:t>
      </w:r>
      <w:r w:rsidR="0067452B">
        <w:rPr>
          <w:rFonts w:ascii="Arial" w:hAnsi="Arial" w:cs="Arial"/>
        </w:rPr>
        <w:t xml:space="preserve"> be updated and used repeatedly to allow serial data collection. </w:t>
      </w:r>
      <w:r w:rsidRPr="00A618EA">
        <w:rPr>
          <w:rFonts w:ascii="Arial" w:hAnsi="Arial" w:cs="Arial"/>
        </w:rPr>
        <w:t xml:space="preserve">We sent </w:t>
      </w:r>
      <w:r w:rsidR="0067452B" w:rsidRPr="00A618EA">
        <w:rPr>
          <w:rFonts w:ascii="Arial" w:hAnsi="Arial" w:cs="Arial"/>
        </w:rPr>
        <w:t>surveys</w:t>
      </w:r>
      <w:r w:rsidRPr="00A618EA">
        <w:rPr>
          <w:rFonts w:ascii="Arial" w:hAnsi="Arial" w:cs="Arial"/>
        </w:rPr>
        <w:t xml:space="preserve"> through Google </w:t>
      </w:r>
      <w:r w:rsidR="0067452B" w:rsidRPr="00552BAB">
        <w:rPr>
          <w:rFonts w:ascii="Arial" w:hAnsi="Arial" w:cs="Arial"/>
        </w:rPr>
        <w:t xml:space="preserve">Forms </w:t>
      </w:r>
      <w:r w:rsidRPr="00552BAB">
        <w:rPr>
          <w:rFonts w:ascii="Arial" w:hAnsi="Arial" w:cs="Arial"/>
        </w:rPr>
        <w:t xml:space="preserve">to all </w:t>
      </w:r>
      <w:r w:rsidR="00DB772F">
        <w:rPr>
          <w:rFonts w:ascii="Arial" w:hAnsi="Arial" w:cs="Arial"/>
        </w:rPr>
        <w:t>thoracic surgery</w:t>
      </w:r>
      <w:r w:rsidR="00DB772F" w:rsidRPr="00552BAB">
        <w:rPr>
          <w:rFonts w:ascii="Arial" w:hAnsi="Arial" w:cs="Arial"/>
        </w:rPr>
        <w:t xml:space="preserve"> </w:t>
      </w:r>
      <w:r w:rsidRPr="00552BAB">
        <w:rPr>
          <w:rFonts w:ascii="Arial" w:hAnsi="Arial" w:cs="Arial"/>
        </w:rPr>
        <w:t>un</w:t>
      </w:r>
      <w:r w:rsidR="009266B2">
        <w:rPr>
          <w:rFonts w:ascii="Arial" w:hAnsi="Arial" w:cs="Arial"/>
        </w:rPr>
        <w:t>its</w:t>
      </w:r>
      <w:r w:rsidRPr="00552BAB">
        <w:rPr>
          <w:rFonts w:ascii="Arial" w:hAnsi="Arial" w:cs="Arial"/>
        </w:rPr>
        <w:t xml:space="preserve"> in Great Britain and Ireland. </w:t>
      </w:r>
      <w:r w:rsidR="0067452B" w:rsidRPr="00552BAB">
        <w:rPr>
          <w:rFonts w:ascii="Arial" w:hAnsi="Arial" w:cs="Arial"/>
        </w:rPr>
        <w:t>Units were followed up to en</w:t>
      </w:r>
      <w:r w:rsidR="00AB67A8">
        <w:rPr>
          <w:rFonts w:ascii="Arial" w:hAnsi="Arial" w:cs="Arial"/>
        </w:rPr>
        <w:t>courage replies</w:t>
      </w:r>
      <w:r w:rsidR="00310C1B">
        <w:rPr>
          <w:rFonts w:ascii="Arial" w:hAnsi="Arial" w:cs="Arial"/>
        </w:rPr>
        <w:t xml:space="preserve"> from the unit lead or another </w:t>
      </w:r>
      <w:r w:rsidR="008B46B6">
        <w:rPr>
          <w:rFonts w:ascii="Arial" w:hAnsi="Arial" w:cs="Arial"/>
        </w:rPr>
        <w:t>consultant member</w:t>
      </w:r>
      <w:r w:rsidR="0067452B" w:rsidRPr="00552BAB">
        <w:rPr>
          <w:rFonts w:ascii="Arial" w:hAnsi="Arial" w:cs="Arial"/>
        </w:rPr>
        <w:t xml:space="preserve">. Data collection ran between </w:t>
      </w:r>
      <w:r w:rsidR="00D3424E" w:rsidRPr="00552BAB">
        <w:rPr>
          <w:rFonts w:ascii="Arial" w:hAnsi="Arial" w:cs="Arial"/>
        </w:rPr>
        <w:t>July to September</w:t>
      </w:r>
      <w:r w:rsidR="00552BAB" w:rsidRPr="00552BAB">
        <w:rPr>
          <w:rFonts w:ascii="Arial" w:hAnsi="Arial" w:cs="Arial"/>
        </w:rPr>
        <w:t xml:space="preserve"> 2022</w:t>
      </w:r>
      <w:r w:rsidR="0067452B" w:rsidRPr="00552BAB">
        <w:rPr>
          <w:rFonts w:ascii="Arial" w:hAnsi="Arial" w:cs="Arial"/>
        </w:rPr>
        <w:t>.</w:t>
      </w:r>
    </w:p>
    <w:p w14:paraId="400C10B9" w14:textId="77777777" w:rsidR="00A618EA" w:rsidRDefault="00A618EA" w:rsidP="00A618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EA4E98" w14:textId="6E1F00CB" w:rsidR="00A618EA" w:rsidRPr="00A618EA" w:rsidRDefault="00A618EA" w:rsidP="00A618EA">
      <w:pPr>
        <w:spacing w:line="360" w:lineRule="auto"/>
        <w:jc w:val="both"/>
        <w:rPr>
          <w:rFonts w:ascii="Arial" w:hAnsi="Arial" w:cs="Arial"/>
        </w:rPr>
      </w:pPr>
      <w:r w:rsidRPr="00A618EA">
        <w:rPr>
          <w:rFonts w:ascii="Arial" w:hAnsi="Arial" w:cs="Arial"/>
          <w:b/>
          <w:bCs/>
        </w:rPr>
        <w:t xml:space="preserve">Results </w:t>
      </w:r>
      <w:r w:rsidR="0067452B" w:rsidRPr="00A618EA">
        <w:rPr>
          <w:rFonts w:ascii="Arial" w:hAnsi="Arial" w:cs="Arial"/>
        </w:rPr>
        <w:t>All adult thoracic surgery</w:t>
      </w:r>
      <w:r w:rsidR="005C61C3">
        <w:rPr>
          <w:rFonts w:ascii="Arial" w:hAnsi="Arial" w:cs="Arial"/>
        </w:rPr>
        <w:t xml:space="preserve"> units</w:t>
      </w:r>
      <w:r w:rsidR="0067452B" w:rsidRPr="00A618EA">
        <w:rPr>
          <w:rFonts w:ascii="Arial" w:hAnsi="Arial" w:cs="Arial"/>
        </w:rPr>
        <w:t xml:space="preserve"> participated (</w:t>
      </w:r>
      <w:r w:rsidR="0067452B">
        <w:rPr>
          <w:rFonts w:ascii="Arial" w:hAnsi="Arial" w:cs="Arial"/>
        </w:rPr>
        <w:t>n</w:t>
      </w:r>
      <w:r w:rsidR="0067452B" w:rsidRPr="00A618EA">
        <w:rPr>
          <w:rFonts w:ascii="Arial" w:hAnsi="Arial" w:cs="Arial"/>
        </w:rPr>
        <w:t xml:space="preserve">=38). </w:t>
      </w:r>
      <w:r w:rsidR="00DB772F">
        <w:rPr>
          <w:rFonts w:ascii="Arial" w:hAnsi="Arial" w:cs="Arial"/>
        </w:rPr>
        <w:t xml:space="preserve">We present data </w:t>
      </w:r>
      <w:r w:rsidRPr="00A618EA">
        <w:rPr>
          <w:rFonts w:ascii="Arial" w:hAnsi="Arial" w:cs="Arial"/>
        </w:rPr>
        <w:t xml:space="preserve">on Day </w:t>
      </w:r>
      <w:r w:rsidR="00DB772F">
        <w:rPr>
          <w:rFonts w:ascii="Arial" w:hAnsi="Arial" w:cs="Arial"/>
        </w:rPr>
        <w:t>o</w:t>
      </w:r>
      <w:r w:rsidR="00DB772F" w:rsidRPr="00A618EA">
        <w:rPr>
          <w:rFonts w:ascii="Arial" w:hAnsi="Arial" w:cs="Arial"/>
        </w:rPr>
        <w:t xml:space="preserve">f </w:t>
      </w:r>
      <w:r w:rsidRPr="00A618EA">
        <w:rPr>
          <w:rFonts w:ascii="Arial" w:hAnsi="Arial" w:cs="Arial"/>
        </w:rPr>
        <w:t xml:space="preserve">Surgery Admission (DOSA), Enhanced Recovery </w:t>
      </w:r>
      <w:r w:rsidR="00DB772F">
        <w:rPr>
          <w:rFonts w:ascii="Arial" w:hAnsi="Arial" w:cs="Arial"/>
        </w:rPr>
        <w:t>af</w:t>
      </w:r>
      <w:r w:rsidR="00DB772F" w:rsidRPr="00A618EA">
        <w:rPr>
          <w:rFonts w:ascii="Arial" w:hAnsi="Arial" w:cs="Arial"/>
        </w:rPr>
        <w:t xml:space="preserve">ter </w:t>
      </w:r>
      <w:r w:rsidRPr="00A618EA">
        <w:rPr>
          <w:rFonts w:ascii="Arial" w:hAnsi="Arial" w:cs="Arial"/>
        </w:rPr>
        <w:t xml:space="preserve">Surgery (ERAS), thoracic ward </w:t>
      </w:r>
      <w:r w:rsidR="00DB772F">
        <w:rPr>
          <w:rFonts w:ascii="Arial" w:hAnsi="Arial" w:cs="Arial"/>
        </w:rPr>
        <w:t>organisation</w:t>
      </w:r>
      <w:r w:rsidR="00552BAB">
        <w:rPr>
          <w:rFonts w:ascii="Arial" w:hAnsi="Arial" w:cs="Arial"/>
        </w:rPr>
        <w:t xml:space="preserve">, </w:t>
      </w:r>
      <w:r w:rsidR="00DB772F" w:rsidRPr="00A618EA">
        <w:rPr>
          <w:rFonts w:ascii="Arial" w:hAnsi="Arial" w:cs="Arial"/>
        </w:rPr>
        <w:t xml:space="preserve">robotic </w:t>
      </w:r>
      <w:r w:rsidRPr="00A618EA">
        <w:rPr>
          <w:rFonts w:ascii="Arial" w:hAnsi="Arial" w:cs="Arial"/>
        </w:rPr>
        <w:t xml:space="preserve">thoracic </w:t>
      </w:r>
      <w:r w:rsidR="00DB772F">
        <w:rPr>
          <w:rFonts w:ascii="Arial" w:hAnsi="Arial" w:cs="Arial"/>
        </w:rPr>
        <w:t>surgery,</w:t>
      </w:r>
      <w:r w:rsidR="00552BAB">
        <w:rPr>
          <w:rFonts w:ascii="Arial" w:hAnsi="Arial" w:cs="Arial"/>
        </w:rPr>
        <w:t xml:space="preserve"> an</w:t>
      </w:r>
      <w:r w:rsidR="003D3A66">
        <w:rPr>
          <w:rFonts w:ascii="Arial" w:hAnsi="Arial" w:cs="Arial"/>
        </w:rPr>
        <w:t xml:space="preserve">d </w:t>
      </w:r>
      <w:r w:rsidR="00DB772F">
        <w:rPr>
          <w:rFonts w:ascii="Arial" w:hAnsi="Arial" w:cs="Arial"/>
        </w:rPr>
        <w:t>lung volume reduction</w:t>
      </w:r>
      <w:r w:rsidR="003D3A66">
        <w:rPr>
          <w:rFonts w:ascii="Arial" w:hAnsi="Arial" w:cs="Arial"/>
        </w:rPr>
        <w:t xml:space="preserve">. </w:t>
      </w:r>
    </w:p>
    <w:p w14:paraId="1CD5D857" w14:textId="77777777" w:rsidR="00A618EA" w:rsidRDefault="00A618EA" w:rsidP="00A618E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D28298C" w14:textId="77777777" w:rsidR="0067452B" w:rsidRDefault="00A618EA" w:rsidP="00A618EA">
      <w:pPr>
        <w:spacing w:line="360" w:lineRule="auto"/>
        <w:jc w:val="both"/>
        <w:rPr>
          <w:rFonts w:ascii="Arial" w:hAnsi="Arial" w:cs="Arial"/>
          <w:b/>
          <w:bCs/>
        </w:rPr>
      </w:pPr>
      <w:r w:rsidRPr="00A618EA">
        <w:rPr>
          <w:rFonts w:ascii="Arial" w:hAnsi="Arial" w:cs="Arial"/>
          <w:b/>
          <w:bCs/>
        </w:rPr>
        <w:t xml:space="preserve">Conclusion </w:t>
      </w:r>
    </w:p>
    <w:p w14:paraId="1C8353C3" w14:textId="3DA6E77E" w:rsidR="00DB772F" w:rsidRPr="002B03EC" w:rsidRDefault="00A618EA" w:rsidP="002B03EC">
      <w:pPr>
        <w:spacing w:line="360" w:lineRule="auto"/>
        <w:jc w:val="both"/>
        <w:rPr>
          <w:rFonts w:ascii="Arial" w:hAnsi="Arial" w:cs="Arial"/>
          <w:b/>
          <w:bCs/>
        </w:rPr>
      </w:pPr>
      <w:r w:rsidRPr="00A618EA">
        <w:rPr>
          <w:rFonts w:ascii="Arial" w:hAnsi="Arial" w:cs="Arial"/>
        </w:rPr>
        <w:t xml:space="preserve">This overview of thoracic surgery </w:t>
      </w:r>
      <w:r w:rsidR="0067452B">
        <w:rPr>
          <w:rFonts w:ascii="Arial" w:hAnsi="Arial" w:cs="Arial"/>
        </w:rPr>
        <w:t>is a snapshot of the current</w:t>
      </w:r>
      <w:r w:rsidRPr="00A618EA">
        <w:rPr>
          <w:rFonts w:ascii="Arial" w:hAnsi="Arial" w:cs="Arial"/>
        </w:rPr>
        <w:t xml:space="preserve"> </w:t>
      </w:r>
      <w:r w:rsidR="0067452B">
        <w:rPr>
          <w:rFonts w:ascii="Arial" w:hAnsi="Arial" w:cs="Arial"/>
        </w:rPr>
        <w:t xml:space="preserve">SCTS </w:t>
      </w:r>
      <w:r w:rsidRPr="00A618EA">
        <w:rPr>
          <w:rFonts w:ascii="Arial" w:hAnsi="Arial" w:cs="Arial"/>
        </w:rPr>
        <w:t xml:space="preserve">provision of thoracic surgery. </w:t>
      </w:r>
      <w:r w:rsidR="0067452B">
        <w:rPr>
          <w:rFonts w:ascii="Arial" w:hAnsi="Arial" w:cs="Arial"/>
        </w:rPr>
        <w:t xml:space="preserve">This methodology </w:t>
      </w:r>
      <w:r w:rsidR="00FD335C">
        <w:rPr>
          <w:rFonts w:ascii="Arial" w:hAnsi="Arial" w:cs="Arial"/>
        </w:rPr>
        <w:t>and</w:t>
      </w:r>
      <w:r w:rsidR="0067452B">
        <w:rPr>
          <w:rFonts w:ascii="Arial" w:hAnsi="Arial" w:cs="Arial"/>
        </w:rPr>
        <w:t xml:space="preserve"> data can be used as a reference point for future surveys.</w:t>
      </w:r>
      <w:r w:rsidR="00DB772F">
        <w:rPr>
          <w:rFonts w:ascii="Arial" w:hAnsi="Arial" w:cs="Arial"/>
          <w:b/>
          <w:bCs/>
          <w:color w:val="2F5496" w:themeColor="accent1" w:themeShade="BF"/>
        </w:rPr>
        <w:br w:type="page"/>
      </w:r>
    </w:p>
    <w:p w14:paraId="1F745665" w14:textId="09FD9E07" w:rsidR="00136CA2" w:rsidRDefault="005E34D4" w:rsidP="00136CA2">
      <w:pPr>
        <w:spacing w:line="360" w:lineRule="auto"/>
        <w:ind w:right="-33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Summary</w:t>
      </w:r>
    </w:p>
    <w:p w14:paraId="59D458BC" w14:textId="77777777" w:rsidR="00136CA2" w:rsidRPr="00FD335C" w:rsidRDefault="00136CA2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567B05E1" w14:textId="4B0F02A1" w:rsidR="00536806" w:rsidRPr="00FD335C" w:rsidRDefault="00536806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1.0 </w:t>
      </w:r>
      <w:r w:rsidR="00A23431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List of </w:t>
      </w:r>
      <w:r w:rsidR="00AB67A8">
        <w:rPr>
          <w:rFonts w:ascii="Arial" w:hAnsi="Arial" w:cs="Arial"/>
          <w:noProof/>
          <w:color w:val="000000" w:themeColor="text1"/>
          <w:sz w:val="22"/>
          <w:szCs w:val="22"/>
        </w:rPr>
        <w:t xml:space="preserve">the 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38</w:t>
      </w:r>
      <w:r w:rsidR="00AB67A8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thoracic surgery units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 xml:space="preserve"> surveyed</w:t>
      </w:r>
      <w:r w:rsidR="008B46B6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377D4EA4" w14:textId="728CFCCA" w:rsidR="00536806" w:rsidRPr="00FD335C" w:rsidRDefault="00536806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br/>
        <w:t>2.1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23431"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Day of Surgery Admission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>s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(DOSA) range from 0-10% to 91-100% with a median of 5</w:t>
      </w:r>
      <w:r w:rsidR="00EE6EBD">
        <w:rPr>
          <w:rFonts w:ascii="Arial" w:hAnsi="Arial" w:cs="Arial"/>
          <w:noProof/>
          <w:color w:val="000000" w:themeColor="text1"/>
          <w:sz w:val="22"/>
          <w:szCs w:val="22"/>
        </w:rPr>
        <w:t>1-60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>%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Pr="00DB772F">
        <w:rPr>
          <w:rFonts w:ascii="Arial" w:hAnsi="Arial" w:cs="Arial"/>
          <w:noProof/>
          <w:color w:val="000000" w:themeColor="text1"/>
          <w:sz w:val="22"/>
          <w:szCs w:val="22"/>
        </w:rPr>
        <w:t>(</w:t>
      </w:r>
      <w:r w:rsidRPr="00795B3C">
        <w:rPr>
          <w:rFonts w:ascii="Arial" w:hAnsi="Arial" w:cs="Arial"/>
          <w:noProof/>
          <w:color w:val="000000" w:themeColor="text1"/>
          <w:sz w:val="22"/>
          <w:szCs w:val="22"/>
        </w:rPr>
        <w:t>mean</w:t>
      </w:r>
      <w:r w:rsidRPr="00FD335C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 xml:space="preserve"> 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51.3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>%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FF5570">
        <w:rPr>
          <w:rFonts w:ascii="Arial" w:hAnsi="Arial" w:cs="Arial"/>
          <w:noProof/>
          <w:color w:val="000000" w:themeColor="text1"/>
          <w:sz w:val="22"/>
          <w:szCs w:val="22"/>
        </w:rPr>
        <w:t xml:space="preserve">IQR 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11</w:t>
      </w:r>
      <w:r w:rsidR="00FF5570">
        <w:rPr>
          <w:rFonts w:ascii="Arial" w:hAnsi="Arial" w:cs="Arial"/>
          <w:noProof/>
          <w:color w:val="000000" w:themeColor="text1"/>
          <w:sz w:val="22"/>
          <w:szCs w:val="22"/>
        </w:rPr>
        <w:t>-90%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)</w:t>
      </w:r>
    </w:p>
    <w:p w14:paraId="0D0AF528" w14:textId="786BC762" w:rsidR="00FD335C" w:rsidRPr="00FD335C" w:rsidRDefault="00FD335C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77E24188" w14:textId="1C84BEA2" w:rsidR="00FD335C" w:rsidRPr="00FD335C" w:rsidRDefault="00FD335C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3.1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23431"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Enhanced Recovery After Surgery (ERAS) ranges from 0-10% to 91-100% with a median 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 xml:space="preserve">of </w:t>
      </w:r>
      <w:r w:rsidR="00EE6EBD">
        <w:rPr>
          <w:rFonts w:ascii="Arial" w:hAnsi="Arial" w:cs="Arial"/>
          <w:noProof/>
          <w:color w:val="000000" w:themeColor="text1"/>
          <w:sz w:val="22"/>
          <w:szCs w:val="22"/>
        </w:rPr>
        <w:t>61-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70</w:t>
      </w:r>
      <w:r w:rsidR="00DB772F">
        <w:rPr>
          <w:rFonts w:ascii="Arial" w:hAnsi="Arial" w:cs="Arial"/>
          <w:noProof/>
          <w:color w:val="000000" w:themeColor="text1"/>
          <w:sz w:val="22"/>
          <w:szCs w:val="22"/>
        </w:rPr>
        <w:t>%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(</w:t>
      </w:r>
      <w:r w:rsidRPr="00795B3C">
        <w:rPr>
          <w:rFonts w:ascii="Arial" w:hAnsi="Arial" w:cs="Arial"/>
          <w:noProof/>
          <w:color w:val="000000" w:themeColor="text1"/>
          <w:sz w:val="22"/>
          <w:szCs w:val="22"/>
        </w:rPr>
        <w:t xml:space="preserve">mean 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>61.1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%,</w:t>
      </w:r>
      <w:r w:rsidRPr="00FD335C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EE6EBD">
        <w:rPr>
          <w:rFonts w:ascii="Arial" w:hAnsi="Arial" w:cs="Arial"/>
          <w:noProof/>
          <w:color w:val="000000" w:themeColor="text1"/>
          <w:sz w:val="22"/>
          <w:szCs w:val="22"/>
        </w:rPr>
        <w:t xml:space="preserve">IQR 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31</w:t>
      </w:r>
      <w:r w:rsidR="00EE6EBD">
        <w:rPr>
          <w:rFonts w:ascii="Arial" w:hAnsi="Arial" w:cs="Arial"/>
          <w:noProof/>
          <w:color w:val="000000" w:themeColor="text1"/>
          <w:sz w:val="22"/>
          <w:szCs w:val="22"/>
        </w:rPr>
        <w:t>-90%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).</w:t>
      </w:r>
    </w:p>
    <w:p w14:paraId="59CD0238" w14:textId="3DF8E97B" w:rsidR="00FD335C" w:rsidRPr="00FD335C" w:rsidRDefault="00FD335C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121DCE4" w14:textId="4C753E58" w:rsidR="00FD335C" w:rsidRPr="00FD335C" w:rsidRDefault="00FD335C" w:rsidP="006E062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4.1 </w:t>
      </w:r>
      <w:r w:rsidR="00A2343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There are 18 </w:t>
      </w:r>
      <w:r w:rsidR="00DB772F">
        <w:rPr>
          <w:rFonts w:ascii="Arial" w:hAnsi="Arial" w:cs="Arial"/>
          <w:color w:val="000000" w:themeColor="text1"/>
          <w:sz w:val="22"/>
          <w:szCs w:val="22"/>
        </w:rPr>
        <w:t>unit</w:t>
      </w:r>
      <w:r w:rsidR="00A23431">
        <w:rPr>
          <w:rFonts w:ascii="Arial" w:hAnsi="Arial" w:cs="Arial"/>
          <w:color w:val="000000" w:themeColor="text1"/>
          <w:sz w:val="22"/>
          <w:szCs w:val="22"/>
        </w:rPr>
        <w:t>s</w:t>
      </w:r>
      <w:r w:rsidR="00DB77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(47%) </w:t>
      </w:r>
      <w:r w:rsidR="00DB772F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and 20 units</w:t>
      </w:r>
      <w:r w:rsidR="00DB77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(53%)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without a dedicated thoracic surgery ward (</w:t>
      </w:r>
      <w:r w:rsidRPr="00FD33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 =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38)</w:t>
      </w:r>
      <w:r w:rsidR="008B46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5D0A46" w14:textId="52993CD4" w:rsidR="00136CA2" w:rsidRPr="00FD335C" w:rsidRDefault="00136CA2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5B6D0E78" w14:textId="7D412C87" w:rsidR="00FD335C" w:rsidRPr="00FD335C" w:rsidRDefault="00FD335C" w:rsidP="006E0626">
      <w:pPr>
        <w:rPr>
          <w:rFonts w:ascii="Arial" w:hAnsi="Arial" w:cs="Arial"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4.2 </w:t>
      </w:r>
      <w:r w:rsidR="00A2343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There are 21 units (55%)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and 17 units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(45%)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without a dedicated thoracic HDU/post</w:t>
      </w:r>
      <w:r w:rsidR="00DA39EA">
        <w:rPr>
          <w:rFonts w:ascii="Arial" w:hAnsi="Arial" w:cs="Arial"/>
          <w:color w:val="000000" w:themeColor="text1"/>
          <w:sz w:val="22"/>
          <w:szCs w:val="22"/>
        </w:rPr>
        <w:t>-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op recovery area (</w:t>
      </w:r>
      <w:r w:rsidRPr="00FD33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 =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38)</w:t>
      </w:r>
      <w:r w:rsidR="008B46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BF780A" w14:textId="77777777" w:rsidR="00FD335C" w:rsidRPr="00FD335C" w:rsidRDefault="00FD335C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75D8D90" w14:textId="48E58E75" w:rsidR="00FD335C" w:rsidRPr="00FD335C" w:rsidRDefault="00FD335C" w:rsidP="006E0626">
      <w:pPr>
        <w:rPr>
          <w:rFonts w:ascii="Arial" w:hAnsi="Arial" w:cs="Arial"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 w:themeColor="text1"/>
          <w:sz w:val="22"/>
          <w:szCs w:val="22"/>
        </w:rPr>
        <w:t>5.1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3431">
        <w:rPr>
          <w:rFonts w:ascii="Arial" w:hAnsi="Arial" w:cs="Arial"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There are 22 units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(58%)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with and 16 units (42%)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without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approval for a robotic programme (</w:t>
      </w:r>
      <w:r w:rsidRPr="00FD33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 =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38).</w:t>
      </w:r>
    </w:p>
    <w:p w14:paraId="06600171" w14:textId="6232CC49" w:rsidR="00136CA2" w:rsidRPr="00FD335C" w:rsidRDefault="00136CA2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4C584524" w14:textId="29970C33" w:rsidR="00FD335C" w:rsidRPr="00FD335C" w:rsidRDefault="00FD335C" w:rsidP="006E0626">
      <w:pPr>
        <w:rPr>
          <w:rFonts w:ascii="Arial" w:hAnsi="Arial" w:cs="Arial"/>
          <w:color w:val="000000" w:themeColor="text1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 w:themeColor="text1"/>
          <w:sz w:val="22"/>
          <w:szCs w:val="22"/>
        </w:rPr>
        <w:t>5.2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3431">
        <w:rPr>
          <w:rFonts w:ascii="Arial" w:hAnsi="Arial" w:cs="Arial"/>
          <w:color w:val="000000" w:themeColor="text1"/>
          <w:sz w:val="22"/>
          <w:szCs w:val="22"/>
        </w:rPr>
        <w:tab/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In total, 18 units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(47%)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 xml:space="preserve">have started and 20 units </w:t>
      </w:r>
      <w:r w:rsidR="00DB772F" w:rsidRPr="00FD335C">
        <w:rPr>
          <w:rFonts w:ascii="Arial" w:hAnsi="Arial" w:cs="Arial"/>
          <w:color w:val="000000" w:themeColor="text1"/>
          <w:sz w:val="22"/>
          <w:szCs w:val="22"/>
        </w:rPr>
        <w:t xml:space="preserve">(53%)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have not started a robotic programme (</w:t>
      </w:r>
      <w:r w:rsidRPr="00FD335C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 = </w:t>
      </w:r>
      <w:r w:rsidRPr="00FD335C">
        <w:rPr>
          <w:rFonts w:ascii="Arial" w:hAnsi="Arial" w:cs="Arial"/>
          <w:color w:val="000000" w:themeColor="text1"/>
          <w:sz w:val="22"/>
          <w:szCs w:val="22"/>
        </w:rPr>
        <w:t>38)</w:t>
      </w:r>
      <w:r w:rsidR="008B46B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D3FB30" w14:textId="2265A1FB" w:rsidR="00FD335C" w:rsidRPr="00FD335C" w:rsidRDefault="00FD335C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</w:p>
    <w:p w14:paraId="3003F154" w14:textId="22BBD75F" w:rsidR="00FD335C" w:rsidRDefault="00FD335C" w:rsidP="006E0626">
      <w:pPr>
        <w:ind w:right="-330"/>
        <w:rPr>
          <w:rFonts w:ascii="Arial" w:hAnsi="Arial" w:cs="Arial"/>
          <w:color w:val="000000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/>
          <w:sz w:val="22"/>
          <w:szCs w:val="22"/>
        </w:rPr>
        <w:t>5.3</w:t>
      </w:r>
      <w:r w:rsidRPr="00FD335C">
        <w:rPr>
          <w:rFonts w:ascii="Arial" w:hAnsi="Arial" w:cs="Arial"/>
          <w:color w:val="000000"/>
          <w:sz w:val="22"/>
          <w:szCs w:val="22"/>
        </w:rPr>
        <w:t xml:space="preserve"> </w:t>
      </w:r>
      <w:r w:rsidR="00A23431">
        <w:rPr>
          <w:rFonts w:ascii="Arial" w:hAnsi="Arial" w:cs="Arial"/>
          <w:color w:val="000000"/>
          <w:sz w:val="22"/>
          <w:szCs w:val="22"/>
        </w:rPr>
        <w:tab/>
      </w:r>
      <w:r w:rsidRPr="00FD335C">
        <w:rPr>
          <w:rFonts w:ascii="Arial" w:hAnsi="Arial" w:cs="Arial"/>
          <w:color w:val="000000"/>
          <w:sz w:val="22"/>
          <w:szCs w:val="22"/>
        </w:rPr>
        <w:t>Robotic System proposed or in use</w:t>
      </w:r>
    </w:p>
    <w:p w14:paraId="4F7096BD" w14:textId="2A890F29" w:rsidR="00AB67A8" w:rsidRPr="00FD335C" w:rsidRDefault="00AB67A8" w:rsidP="006E0626">
      <w:pPr>
        <w:ind w:right="-330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 units that have started or </w:t>
      </w:r>
      <w:r w:rsidR="005E1C15">
        <w:rPr>
          <w:rFonts w:ascii="Arial" w:hAnsi="Arial" w:cs="Arial"/>
          <w:color w:val="000000"/>
          <w:sz w:val="22"/>
          <w:szCs w:val="22"/>
        </w:rPr>
        <w:t>propose</w:t>
      </w:r>
      <w:r>
        <w:rPr>
          <w:rFonts w:ascii="Arial" w:hAnsi="Arial" w:cs="Arial"/>
          <w:color w:val="000000"/>
          <w:sz w:val="22"/>
          <w:szCs w:val="22"/>
        </w:rPr>
        <w:t xml:space="preserve"> to use </w:t>
      </w:r>
      <w:r w:rsidR="005E1C15">
        <w:rPr>
          <w:rFonts w:ascii="Arial" w:hAnsi="Arial" w:cs="Arial"/>
          <w:color w:val="000000"/>
          <w:sz w:val="22"/>
          <w:szCs w:val="22"/>
        </w:rPr>
        <w:t>robotics have specified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E1C15">
        <w:rPr>
          <w:rFonts w:ascii="Arial" w:hAnsi="Arial" w:cs="Arial"/>
          <w:color w:val="000000"/>
          <w:sz w:val="22"/>
          <w:szCs w:val="22"/>
        </w:rPr>
        <w:t xml:space="preserve">system from </w:t>
      </w:r>
      <w:r>
        <w:rPr>
          <w:rFonts w:ascii="Arial" w:hAnsi="Arial" w:cs="Arial"/>
          <w:color w:val="000000"/>
          <w:sz w:val="22"/>
          <w:szCs w:val="22"/>
        </w:rPr>
        <w:t>Intuitive</w:t>
      </w:r>
      <w:r w:rsidR="009D1490">
        <w:rPr>
          <w:rFonts w:ascii="Arial" w:hAnsi="Arial" w:cs="Arial"/>
          <w:color w:val="000000"/>
          <w:sz w:val="22"/>
          <w:szCs w:val="22"/>
        </w:rPr>
        <w:t>.</w:t>
      </w:r>
    </w:p>
    <w:p w14:paraId="0740D992" w14:textId="77777777" w:rsidR="00FD335C" w:rsidRDefault="00FD335C" w:rsidP="006E0626">
      <w:pPr>
        <w:ind w:right="-33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E9914E" w14:textId="77777777" w:rsidR="00FA0505" w:rsidRDefault="00FD335C" w:rsidP="00E0338B">
      <w:pPr>
        <w:ind w:right="-330"/>
        <w:rPr>
          <w:rFonts w:ascii="Arial" w:hAnsi="Arial" w:cs="Arial"/>
          <w:color w:val="000000"/>
          <w:sz w:val="22"/>
          <w:szCs w:val="22"/>
        </w:rPr>
      </w:pPr>
      <w:r w:rsidRPr="00FD335C">
        <w:rPr>
          <w:rFonts w:ascii="Arial" w:hAnsi="Arial" w:cs="Arial"/>
          <w:b/>
          <w:bCs/>
          <w:color w:val="000000"/>
          <w:sz w:val="22"/>
          <w:szCs w:val="22"/>
        </w:rPr>
        <w:t xml:space="preserve">6.1 </w:t>
      </w:r>
      <w:r w:rsidRPr="00FD335C">
        <w:rPr>
          <w:rFonts w:ascii="Arial" w:hAnsi="Arial" w:cs="Arial"/>
          <w:color w:val="000000"/>
          <w:sz w:val="22"/>
          <w:szCs w:val="22"/>
        </w:rPr>
        <w:t>Lung Volume Reduction</w:t>
      </w:r>
    </w:p>
    <w:p w14:paraId="18DAA924" w14:textId="77777777" w:rsidR="00FA0505" w:rsidRPr="00FA0505" w:rsidRDefault="00FA0505" w:rsidP="00E0338B">
      <w:pPr>
        <w:ind w:right="-33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4"/>
        <w:gridCol w:w="2254"/>
        <w:gridCol w:w="2717"/>
        <w:gridCol w:w="1791"/>
      </w:tblGrid>
      <w:tr w:rsidR="00FA0505" w:rsidRPr="00FA0505" w14:paraId="0D02A41C" w14:textId="77777777" w:rsidTr="004D4A9B">
        <w:tc>
          <w:tcPr>
            <w:tcW w:w="2254" w:type="dxa"/>
            <w:shd w:val="clear" w:color="auto" w:fill="FFFFFF" w:themeFill="background1"/>
          </w:tcPr>
          <w:p w14:paraId="17977790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Arial" w:hAnsi="Arial" w:cs="Arial"/>
                <w:b/>
                <w:bCs/>
                <w:sz w:val="20"/>
                <w:szCs w:val="20"/>
              </w:rPr>
              <w:t>No. of units (%)</w:t>
            </w:r>
          </w:p>
        </w:tc>
        <w:tc>
          <w:tcPr>
            <w:tcW w:w="2254" w:type="dxa"/>
            <w:shd w:val="clear" w:color="auto" w:fill="FFFFFF" w:themeFill="background1"/>
          </w:tcPr>
          <w:p w14:paraId="28D28C9B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Arial" w:hAnsi="Arial" w:cs="Arial"/>
                <w:b/>
                <w:bCs/>
                <w:sz w:val="20"/>
                <w:szCs w:val="20"/>
              </w:rPr>
              <w:t>LVR MDT</w:t>
            </w:r>
          </w:p>
        </w:tc>
        <w:tc>
          <w:tcPr>
            <w:tcW w:w="2717" w:type="dxa"/>
            <w:shd w:val="clear" w:color="auto" w:fill="FFFFFF" w:themeFill="background1"/>
          </w:tcPr>
          <w:p w14:paraId="3068E01D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Arial" w:hAnsi="Arial" w:cs="Arial"/>
                <w:b/>
                <w:bCs/>
                <w:sz w:val="20"/>
                <w:szCs w:val="20"/>
              </w:rPr>
              <w:t>Endobronchial valves</w:t>
            </w:r>
          </w:p>
        </w:tc>
        <w:tc>
          <w:tcPr>
            <w:tcW w:w="1791" w:type="dxa"/>
            <w:shd w:val="clear" w:color="auto" w:fill="FFFFFF" w:themeFill="background1"/>
          </w:tcPr>
          <w:p w14:paraId="426A8F27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Arial" w:hAnsi="Arial" w:cs="Arial"/>
                <w:b/>
                <w:bCs/>
                <w:sz w:val="20"/>
                <w:szCs w:val="20"/>
              </w:rPr>
              <w:t>LVR surgery</w:t>
            </w:r>
          </w:p>
        </w:tc>
      </w:tr>
      <w:tr w:rsidR="00FA0505" w:rsidRPr="006E0626" w14:paraId="1E8D0CFB" w14:textId="77777777" w:rsidTr="004D4A9B">
        <w:trPr>
          <w:trHeight w:val="69"/>
        </w:trPr>
        <w:tc>
          <w:tcPr>
            <w:tcW w:w="2254" w:type="dxa"/>
            <w:shd w:val="clear" w:color="auto" w:fill="FFFFFF" w:themeFill="background1"/>
          </w:tcPr>
          <w:p w14:paraId="395E90F3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26 (68.5)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7BEB9EC1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19364235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791" w:type="dxa"/>
            <w:shd w:val="clear" w:color="auto" w:fill="FFFFFF" w:themeFill="background1"/>
          </w:tcPr>
          <w:p w14:paraId="5196BAE7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FA0505" w:rsidRPr="006E0626" w14:paraId="4621B295" w14:textId="77777777" w:rsidTr="004D4A9B">
        <w:tc>
          <w:tcPr>
            <w:tcW w:w="2254" w:type="dxa"/>
            <w:shd w:val="clear" w:color="auto" w:fill="FFFFFF" w:themeFill="background1"/>
          </w:tcPr>
          <w:p w14:paraId="2437C397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1 (2.5)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0A57397F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4F45751C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36AA80F3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0505" w:rsidRPr="006E0626" w14:paraId="53952469" w14:textId="77777777" w:rsidTr="004D4A9B">
        <w:tc>
          <w:tcPr>
            <w:tcW w:w="2254" w:type="dxa"/>
            <w:shd w:val="clear" w:color="auto" w:fill="FFFFFF" w:themeFill="background1"/>
          </w:tcPr>
          <w:p w14:paraId="15CCE2D6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2 (5.5)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7026E403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1F0630BE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4B88A0FF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FA0505" w:rsidRPr="006E0626" w14:paraId="32AF5A04" w14:textId="77777777" w:rsidTr="004D4A9B">
        <w:tc>
          <w:tcPr>
            <w:tcW w:w="2254" w:type="dxa"/>
            <w:shd w:val="clear" w:color="auto" w:fill="FFFFFF" w:themeFill="background1"/>
          </w:tcPr>
          <w:p w14:paraId="1BA2BED1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1 (2.5)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4D7F1644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1F860D57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791" w:type="dxa"/>
            <w:shd w:val="clear" w:color="auto" w:fill="FFFFFF" w:themeFill="background1"/>
          </w:tcPr>
          <w:p w14:paraId="74BA85E3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FA0505" w:rsidRPr="006E0626" w14:paraId="1F9DD842" w14:textId="77777777" w:rsidTr="004D4A9B">
        <w:tc>
          <w:tcPr>
            <w:tcW w:w="2254" w:type="dxa"/>
            <w:shd w:val="clear" w:color="auto" w:fill="FFFFFF" w:themeFill="background1"/>
          </w:tcPr>
          <w:p w14:paraId="0C1D0B5F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4 (10.5)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5149ECAA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1C091598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238E27E9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0505">
              <w:rPr>
                <w:rFonts w:ascii="Segoe UI Symbol" w:hAnsi="Segoe UI Symbol" w:cs="Segoe UI Symbol"/>
                <w:b/>
                <w:bCs/>
                <w:color w:val="202124"/>
                <w:sz w:val="20"/>
                <w:szCs w:val="20"/>
                <w:shd w:val="clear" w:color="auto" w:fill="FFFFFF"/>
              </w:rPr>
              <w:t>✓</w:t>
            </w:r>
          </w:p>
        </w:tc>
      </w:tr>
      <w:tr w:rsidR="00FA0505" w14:paraId="34E4B5CE" w14:textId="77777777" w:rsidTr="004D4A9B">
        <w:tc>
          <w:tcPr>
            <w:tcW w:w="2254" w:type="dxa"/>
            <w:shd w:val="clear" w:color="auto" w:fill="FFFFFF" w:themeFill="background1"/>
          </w:tcPr>
          <w:p w14:paraId="057E21D0" w14:textId="77777777" w:rsidR="00FA0505" w:rsidRPr="00FA0505" w:rsidRDefault="00FA0505" w:rsidP="004D4A9B">
            <w:pPr>
              <w:spacing w:line="360" w:lineRule="auto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FA0505">
              <w:rPr>
                <w:rFonts w:ascii="Arial" w:hAnsi="Arial" w:cs="Arial"/>
                <w:sz w:val="20"/>
                <w:szCs w:val="20"/>
              </w:rPr>
              <w:t>4 (10.5)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52E3E720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0C26AA2B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425AEA8B" w14:textId="77777777" w:rsidR="00FA0505" w:rsidRPr="00FA0505" w:rsidRDefault="00FA0505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A37F8D" w14:textId="63784ACE" w:rsidR="00473AF1" w:rsidRPr="00E0338B" w:rsidRDefault="00E0338B" w:rsidP="00E0338B">
      <w:pPr>
        <w:ind w:right="-3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14:paraId="1115CA4D" w14:textId="2307D96F" w:rsidR="00A618EA" w:rsidRPr="007138E8" w:rsidRDefault="00473AF1" w:rsidP="002B03EC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br w:type="page"/>
      </w:r>
    </w:p>
    <w:p w14:paraId="7BE02D95" w14:textId="3DDB392E" w:rsidR="00D740E1" w:rsidRPr="00211A80" w:rsidRDefault="00434313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211A80">
        <w:rPr>
          <w:rFonts w:ascii="Arial" w:hAnsi="Arial" w:cs="Arial"/>
          <w:b/>
          <w:bCs/>
          <w:noProof/>
          <w:color w:val="FFFFFF" w:themeColor="background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E2D5CC4" wp14:editId="5BE238D5">
            <wp:simplePos x="0" y="0"/>
            <wp:positionH relativeFrom="column">
              <wp:posOffset>1403483</wp:posOffset>
            </wp:positionH>
            <wp:positionV relativeFrom="paragraph">
              <wp:posOffset>-179660</wp:posOffset>
            </wp:positionV>
            <wp:extent cx="499730" cy="683428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211A80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EB39235" wp14:editId="09FCD4F2">
            <wp:simplePos x="0" y="0"/>
            <wp:positionH relativeFrom="column">
              <wp:posOffset>-6021012</wp:posOffset>
            </wp:positionH>
            <wp:positionV relativeFrom="paragraph">
              <wp:posOffset>-1051560</wp:posOffset>
            </wp:positionV>
            <wp:extent cx="7684230" cy="10886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211A80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Section 1: Participating units</w:t>
      </w:r>
    </w:p>
    <w:p w14:paraId="6241B13A" w14:textId="54FD70E3" w:rsidR="00D740E1" w:rsidRPr="00211A80" w:rsidRDefault="00D740E1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</w:rPr>
      </w:pPr>
      <w:r w:rsidRPr="00211A80">
        <w:rPr>
          <w:rFonts w:ascii="Arial" w:hAnsi="Arial" w:cs="Arial"/>
          <w:b/>
          <w:bCs/>
          <w:color w:val="000000"/>
        </w:rPr>
        <w:t xml:space="preserve">List of participating units  </w:t>
      </w:r>
    </w:p>
    <w:p w14:paraId="6A7FB4F5" w14:textId="545739AB" w:rsidR="0067452B" w:rsidRDefault="0067452B" w:rsidP="00D740E1">
      <w:pPr>
        <w:spacing w:line="360" w:lineRule="auto"/>
        <w:ind w:right="-330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14:paraId="71DAB6C7" w14:textId="77777777" w:rsidR="007A4EC5" w:rsidRDefault="007A4EC5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br w:type="page"/>
      </w:r>
    </w:p>
    <w:p w14:paraId="1388A005" w14:textId="7ED5F9BD" w:rsidR="00D740E1" w:rsidRPr="006343A4" w:rsidRDefault="00D740E1" w:rsidP="00D740E1">
      <w:pPr>
        <w:spacing w:line="360" w:lineRule="auto"/>
        <w:ind w:right="-33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6343A4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 xml:space="preserve">List of </w:t>
      </w: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participating SCTS </w:t>
      </w:r>
      <w:r w:rsidRPr="006343A4">
        <w:rPr>
          <w:rFonts w:ascii="Arial" w:hAnsi="Arial" w:cs="Arial"/>
          <w:b/>
          <w:bCs/>
          <w:color w:val="4472C4" w:themeColor="accent1"/>
          <w:sz w:val="28"/>
          <w:szCs w:val="28"/>
        </w:rPr>
        <w:t>units</w:t>
      </w:r>
    </w:p>
    <w:p w14:paraId="7B6F9CE1" w14:textId="64FB63A3" w:rsidR="000857DA" w:rsidRPr="006343A4" w:rsidRDefault="000857DA" w:rsidP="000857DA">
      <w:pPr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Eire</w:t>
      </w:r>
      <w:r w:rsidR="003709C6">
        <w:rPr>
          <w:rFonts w:ascii="Arial" w:hAnsi="Arial" w:cs="Arial"/>
          <w:b/>
          <w:bCs/>
          <w:color w:val="C45911" w:themeColor="accent2" w:themeShade="BF"/>
        </w:rPr>
        <w:t xml:space="preserve"> (3)</w:t>
      </w:r>
    </w:p>
    <w:p w14:paraId="03E2655E" w14:textId="77777777" w:rsidR="000857DA" w:rsidRPr="000857DA" w:rsidRDefault="000857DA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Galway University Hospital</w:t>
      </w:r>
    </w:p>
    <w:p w14:paraId="1F5783EB" w14:textId="73B76F12" w:rsidR="000857DA" w:rsidRPr="000857DA" w:rsidRDefault="000857DA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St James's Hospital, Dublin</w:t>
      </w:r>
    </w:p>
    <w:p w14:paraId="7B6C8DC2" w14:textId="77777777" w:rsidR="000857DA" w:rsidRPr="000857DA" w:rsidRDefault="000857DA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The Mater Hospital, Dublin</w:t>
      </w:r>
    </w:p>
    <w:p w14:paraId="0E873EF2" w14:textId="77777777" w:rsidR="000857DA" w:rsidRDefault="000857DA" w:rsidP="00D740E1">
      <w:pPr>
        <w:rPr>
          <w:rFonts w:ascii="Arial" w:hAnsi="Arial" w:cs="Arial"/>
          <w:b/>
          <w:bCs/>
          <w:color w:val="C45911" w:themeColor="accent2" w:themeShade="BF"/>
        </w:rPr>
      </w:pPr>
    </w:p>
    <w:p w14:paraId="758679F1" w14:textId="6CEFF557" w:rsidR="00D740E1" w:rsidRDefault="000857DA" w:rsidP="00D740E1">
      <w:pPr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England</w:t>
      </w:r>
      <w:r w:rsidR="003709C6">
        <w:rPr>
          <w:rFonts w:ascii="Arial" w:hAnsi="Arial" w:cs="Arial"/>
          <w:b/>
          <w:bCs/>
          <w:color w:val="C45911" w:themeColor="accent2" w:themeShade="BF"/>
        </w:rPr>
        <w:t xml:space="preserve"> (2</w:t>
      </w:r>
      <w:r w:rsidR="00CA402A">
        <w:rPr>
          <w:rFonts w:ascii="Arial" w:hAnsi="Arial" w:cs="Arial"/>
          <w:b/>
          <w:bCs/>
          <w:color w:val="C45911" w:themeColor="accent2" w:themeShade="BF"/>
        </w:rPr>
        <w:t>9</w:t>
      </w:r>
      <w:r w:rsidR="003709C6">
        <w:rPr>
          <w:rFonts w:ascii="Arial" w:hAnsi="Arial" w:cs="Arial"/>
          <w:b/>
          <w:bCs/>
          <w:color w:val="C45911" w:themeColor="accent2" w:themeShade="BF"/>
        </w:rPr>
        <w:t>)</w:t>
      </w:r>
    </w:p>
    <w:p w14:paraId="4300FCF3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Basildon University Hospital</w:t>
      </w:r>
    </w:p>
    <w:p w14:paraId="17F4CD6C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Bristol Royal Infirmary</w:t>
      </w:r>
    </w:p>
    <w:p w14:paraId="2579653A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Castle Hill Hospital, Hull</w:t>
      </w:r>
    </w:p>
    <w:p w14:paraId="3D2D365D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 xml:space="preserve">Derriford Hospital, Plymouth </w:t>
      </w:r>
    </w:p>
    <w:p w14:paraId="0A8B74E4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 xml:space="preserve">Freeman Hospital, Newcastle </w:t>
      </w:r>
    </w:p>
    <w:p w14:paraId="230FFFE9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Glenfield Hospital, Leicester</w:t>
      </w:r>
    </w:p>
    <w:p w14:paraId="37D94026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Guy's Hospital, London</w:t>
      </w:r>
    </w:p>
    <w:p w14:paraId="247EB59E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Hammersmith Hospital, London</w:t>
      </w:r>
    </w:p>
    <w:p w14:paraId="2C0A30A3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Harefield Hospital, London</w:t>
      </w:r>
    </w:p>
    <w:p w14:paraId="1DF8A692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James Cook University Hospital, Middlesbrough</w:t>
      </w:r>
    </w:p>
    <w:p w14:paraId="671B0235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King's College Hospital, London</w:t>
      </w:r>
    </w:p>
    <w:p w14:paraId="12309CEC" w14:textId="507A9BEC" w:rsidR="00D740E1" w:rsidRPr="000857DA" w:rsidRDefault="00D25DE8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 xml:space="preserve">St James’s University Hospital, Leeds </w:t>
      </w:r>
    </w:p>
    <w:bookmarkEnd w:id="0"/>
    <w:p w14:paraId="6E00D243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Liverpool Heart and Chest Hospital</w:t>
      </w:r>
    </w:p>
    <w:p w14:paraId="308F4DF3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New Cross Hospital, Wolverhampton</w:t>
      </w:r>
    </w:p>
    <w:p w14:paraId="04AE35A1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Norfolk and Norwich University Hospital</w:t>
      </w:r>
    </w:p>
    <w:p w14:paraId="2A4C0681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 xml:space="preserve">Northern General Hospital, Sheffield </w:t>
      </w:r>
    </w:p>
    <w:p w14:paraId="41A2525D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 xml:space="preserve">Nottingham University Hospitals </w:t>
      </w:r>
    </w:p>
    <w:p w14:paraId="0B3E88EA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 xml:space="preserve">Oxford University Hospitals </w:t>
      </w:r>
    </w:p>
    <w:p w14:paraId="7917254A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Queen Elizabeth Hospital, Birmingham</w:t>
      </w:r>
    </w:p>
    <w:p w14:paraId="07FE6F23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Royal Brompton Hospital, London</w:t>
      </w:r>
    </w:p>
    <w:p w14:paraId="46FA50E1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Royal Papworth Hospital, Cambridge</w:t>
      </w:r>
    </w:p>
    <w:p w14:paraId="0BFDA64D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Southampton General Hospital</w:t>
      </w:r>
    </w:p>
    <w:p w14:paraId="1CE1944B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St Bartholomew's Hospital, London</w:t>
      </w:r>
    </w:p>
    <w:p w14:paraId="1502BD31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St George's Hospital, London</w:t>
      </w:r>
    </w:p>
    <w:p w14:paraId="2520C044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University College London Hospital</w:t>
      </w:r>
    </w:p>
    <w:p w14:paraId="747CC4C5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University Hospital Coventry and Warwickshire</w:t>
      </w:r>
    </w:p>
    <w:p w14:paraId="7195B220" w14:textId="39E92C84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University Hospital North Midlands, Stoke-</w:t>
      </w:r>
      <w:r w:rsidR="00C2020B">
        <w:rPr>
          <w:rFonts w:ascii="Arial" w:hAnsi="Arial" w:cs="Arial"/>
        </w:rPr>
        <w:t>o</w:t>
      </w:r>
      <w:r w:rsidR="00C2020B" w:rsidRPr="000857DA">
        <w:rPr>
          <w:rFonts w:ascii="Arial" w:hAnsi="Arial" w:cs="Arial"/>
        </w:rPr>
        <w:t>n</w:t>
      </w:r>
      <w:r w:rsidRPr="000857DA">
        <w:rPr>
          <w:rFonts w:ascii="Arial" w:hAnsi="Arial" w:cs="Arial"/>
        </w:rPr>
        <w:t>-Trent</w:t>
      </w:r>
    </w:p>
    <w:p w14:paraId="16DF5982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Victoria Hospital, Blackpool</w:t>
      </w:r>
    </w:p>
    <w:p w14:paraId="117988A7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Wythenshawe Hospital, Manchester</w:t>
      </w:r>
    </w:p>
    <w:p w14:paraId="7E7C1986" w14:textId="77777777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</w:p>
    <w:p w14:paraId="79EC25FC" w14:textId="16B4C6CF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 xml:space="preserve">Northern Ireland </w:t>
      </w:r>
      <w:r w:rsidR="003709C6">
        <w:rPr>
          <w:rFonts w:ascii="Arial" w:hAnsi="Arial" w:cs="Arial"/>
          <w:b/>
          <w:bCs/>
          <w:color w:val="C45911" w:themeColor="accent2" w:themeShade="BF"/>
        </w:rPr>
        <w:t>(1)</w:t>
      </w:r>
    </w:p>
    <w:p w14:paraId="737A1B92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Royal Victoria Hospital, Belfast</w:t>
      </w:r>
    </w:p>
    <w:p w14:paraId="2E80A6F4" w14:textId="77777777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</w:p>
    <w:p w14:paraId="18919C4F" w14:textId="5719BD46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 xml:space="preserve">Scotland </w:t>
      </w:r>
      <w:r w:rsidR="003709C6">
        <w:rPr>
          <w:rFonts w:ascii="Arial" w:hAnsi="Arial" w:cs="Arial"/>
          <w:b/>
          <w:bCs/>
          <w:color w:val="C45911" w:themeColor="accent2" w:themeShade="BF"/>
        </w:rPr>
        <w:t>(3)</w:t>
      </w:r>
    </w:p>
    <w:p w14:paraId="252648FC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Aberdeen Royal Infirmary</w:t>
      </w:r>
    </w:p>
    <w:p w14:paraId="48CAAD8F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Golden Jubilee National Hospital, Glasgow</w:t>
      </w:r>
    </w:p>
    <w:p w14:paraId="227121C4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Royal Infirmary of Edinburgh</w:t>
      </w:r>
    </w:p>
    <w:p w14:paraId="6929155F" w14:textId="77777777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</w:p>
    <w:p w14:paraId="6825CE0D" w14:textId="46F343BB" w:rsidR="00D740E1" w:rsidRDefault="00D740E1" w:rsidP="00D740E1">
      <w:pPr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Wales</w:t>
      </w:r>
      <w:r w:rsidR="003709C6">
        <w:rPr>
          <w:rFonts w:ascii="Arial" w:hAnsi="Arial" w:cs="Arial"/>
          <w:b/>
          <w:bCs/>
          <w:color w:val="C45911" w:themeColor="accent2" w:themeShade="BF"/>
        </w:rPr>
        <w:t xml:space="preserve"> (2)</w:t>
      </w:r>
    </w:p>
    <w:p w14:paraId="0D5EC22F" w14:textId="77777777" w:rsidR="00D740E1" w:rsidRPr="000857DA" w:rsidRDefault="00D740E1" w:rsidP="000857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Morriston Hospital, Swansea</w:t>
      </w:r>
    </w:p>
    <w:p w14:paraId="074C496A" w14:textId="77777777" w:rsidR="00D740E1" w:rsidRPr="00136CA2" w:rsidRDefault="00D740E1" w:rsidP="00D740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857DA">
        <w:rPr>
          <w:rFonts w:ascii="Arial" w:hAnsi="Arial" w:cs="Arial"/>
        </w:rPr>
        <w:t>University Hospital of Wales, Cardiff</w:t>
      </w:r>
    </w:p>
    <w:p w14:paraId="14A90DCD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4831DFB" w14:textId="77777777" w:rsidR="005E6DF8" w:rsidRDefault="005E6DF8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521FBFA" w14:textId="0E68EC7C" w:rsidR="00D740E1" w:rsidRPr="00C70454" w:rsidRDefault="00434313" w:rsidP="00C70454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65415" behindDoc="0" locked="0" layoutInCell="1" allowOverlap="1" wp14:anchorId="6A44FE14" wp14:editId="7E13B10F">
            <wp:simplePos x="0" y="0"/>
            <wp:positionH relativeFrom="column">
              <wp:posOffset>1392865</wp:posOffset>
            </wp:positionH>
            <wp:positionV relativeFrom="paragraph">
              <wp:posOffset>-170121</wp:posOffset>
            </wp:positionV>
            <wp:extent cx="499730" cy="683428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5D5A6E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43820BA6" wp14:editId="6F05C0EF">
            <wp:simplePos x="0" y="0"/>
            <wp:positionH relativeFrom="column">
              <wp:posOffset>-6030421</wp:posOffset>
            </wp:positionH>
            <wp:positionV relativeFrom="paragraph">
              <wp:posOffset>-1052830</wp:posOffset>
            </wp:positionV>
            <wp:extent cx="7684230" cy="10886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S</w:t>
      </w:r>
      <w:r w:rsidR="00D740E1" w:rsidRPr="00C7045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ection </w:t>
      </w:r>
      <w:r w:rsidR="00136C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2</w:t>
      </w:r>
      <w:r w:rsidR="00D740E1" w:rsidRPr="00C7045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: Day of Surgery Admission (DOSA)</w:t>
      </w:r>
    </w:p>
    <w:p w14:paraId="23CC7ED6" w14:textId="77777777" w:rsidR="00D740E1" w:rsidRDefault="00D740E1" w:rsidP="00D740E1">
      <w:pPr>
        <w:spacing w:line="360" w:lineRule="auto"/>
        <w:ind w:left="5040" w:right="-33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14:paraId="772AA97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B500C5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EB4FD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62055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743446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62E8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33EDB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33B5A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CC097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94704D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A511C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A847B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D4802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44A930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1B748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52FE1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EAB364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F0C08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1794B4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B068B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AD746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7FB18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48B9D6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0E12B8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F0FDB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429D17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915101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DD381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BD3140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176A4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5BDCD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5F334B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3FAB9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5EC64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6A5E77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B6E687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B6A71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34828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80745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EFC451C" w14:textId="692E71D5" w:rsidR="00D740E1" w:rsidRDefault="00D740E1" w:rsidP="00D740E1">
      <w:pPr>
        <w:ind w:firstLine="7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AC784AA" wp14:editId="633940B4">
            <wp:extent cx="5080000" cy="2683933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6BBEA76-D7F2-D224-A5D8-CF3E8BBEB3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D1DD4F" w14:textId="2A71AF53" w:rsidR="006C6702" w:rsidRDefault="006C6702" w:rsidP="008A4783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65FD01A" wp14:editId="7CAF1535">
            <wp:extent cx="6139089" cy="453707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204BD2D-7B56-6094-7C44-E48D5861E6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BE86CB" w14:textId="77777777" w:rsidR="00315621" w:rsidRDefault="00315621" w:rsidP="00D740E1">
      <w:pP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37A1FB66" w14:textId="1FA3B6E3" w:rsidR="00D740E1" w:rsidRDefault="00D740E1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F652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Figure </w:t>
      </w:r>
      <w:r w:rsidR="002B5DB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2</w:t>
      </w:r>
      <w:r w:rsidR="0058589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.1</w:t>
      </w:r>
      <w:r w:rsidRPr="00BF6526">
        <w:rPr>
          <w:rFonts w:ascii="Arial" w:hAnsi="Arial" w:cs="Arial"/>
          <w:noProof/>
          <w:color w:val="000000" w:themeColor="text1"/>
          <w:sz w:val="22"/>
          <w:szCs w:val="22"/>
        </w:rPr>
        <w:t xml:space="preserve"> Day of Surgery Admissions (DOSA) range from 0-10% to 91-100% across units, with a median </w:t>
      </w:r>
      <w:r w:rsidR="001455E1">
        <w:rPr>
          <w:rFonts w:ascii="Arial" w:hAnsi="Arial" w:cs="Arial"/>
          <w:noProof/>
          <w:color w:val="000000" w:themeColor="text1"/>
          <w:sz w:val="22"/>
          <w:szCs w:val="22"/>
        </w:rPr>
        <w:t xml:space="preserve">category </w:t>
      </w:r>
      <w:r w:rsidRPr="00BF6526">
        <w:rPr>
          <w:rFonts w:ascii="Arial" w:hAnsi="Arial" w:cs="Arial"/>
          <w:noProof/>
          <w:color w:val="000000" w:themeColor="text1"/>
          <w:sz w:val="22"/>
          <w:szCs w:val="22"/>
        </w:rPr>
        <w:t xml:space="preserve">of </w:t>
      </w:r>
      <w:r w:rsidR="00EE6EBD">
        <w:rPr>
          <w:rFonts w:ascii="Arial" w:hAnsi="Arial" w:cs="Arial"/>
          <w:noProof/>
          <w:color w:val="000000" w:themeColor="text1"/>
          <w:sz w:val="22"/>
          <w:szCs w:val="22"/>
        </w:rPr>
        <w:t>51-6</w:t>
      </w:r>
      <w:r w:rsidR="001455E1">
        <w:rPr>
          <w:rFonts w:ascii="Arial" w:hAnsi="Arial" w:cs="Arial"/>
          <w:noProof/>
          <w:color w:val="000000" w:themeColor="text1"/>
          <w:sz w:val="22"/>
          <w:szCs w:val="22"/>
        </w:rPr>
        <w:t>0</w:t>
      </w:r>
      <w:r w:rsidR="00A873FF">
        <w:rPr>
          <w:rFonts w:ascii="Arial" w:hAnsi="Arial" w:cs="Arial"/>
          <w:noProof/>
          <w:color w:val="000000" w:themeColor="text1"/>
          <w:sz w:val="22"/>
          <w:szCs w:val="22"/>
        </w:rPr>
        <w:t>%</w:t>
      </w:r>
      <w:r w:rsidRPr="00BF6526">
        <w:rPr>
          <w:rFonts w:ascii="Arial" w:hAnsi="Arial" w:cs="Arial"/>
          <w:noProof/>
          <w:color w:val="000000" w:themeColor="text1"/>
          <w:sz w:val="22"/>
          <w:szCs w:val="22"/>
        </w:rPr>
        <w:t xml:space="preserve"> (</w:t>
      </w:r>
      <w:r w:rsidR="00D412BC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m</w:t>
      </w:r>
      <w:r w:rsidRPr="00BF6526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ean =</w:t>
      </w:r>
      <w:r w:rsidRPr="00BF6526">
        <w:rPr>
          <w:rFonts w:ascii="Arial" w:hAnsi="Arial" w:cs="Arial"/>
          <w:noProof/>
          <w:color w:val="000000" w:themeColor="text1"/>
          <w:sz w:val="22"/>
          <w:szCs w:val="22"/>
        </w:rPr>
        <w:t xml:space="preserve"> 51.3</w:t>
      </w:r>
      <w:r w:rsidR="00DA39EA">
        <w:rPr>
          <w:rFonts w:ascii="Arial" w:hAnsi="Arial" w:cs="Arial"/>
          <w:noProof/>
          <w:color w:val="000000" w:themeColor="text1"/>
          <w:sz w:val="22"/>
          <w:szCs w:val="22"/>
        </w:rPr>
        <w:t xml:space="preserve">, 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 xml:space="preserve">IQR 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11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>-90%</w:t>
      </w:r>
      <w:r w:rsidR="00DA39EA">
        <w:rPr>
          <w:rFonts w:ascii="Arial" w:hAnsi="Arial" w:cs="Arial"/>
          <w:noProof/>
          <w:color w:val="000000" w:themeColor="text1"/>
          <w:sz w:val="22"/>
          <w:szCs w:val="22"/>
        </w:rPr>
        <w:t>)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66ABE05B" w14:textId="6ACADE3E" w:rsidR="008A4783" w:rsidRDefault="008A4783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3BCF2E7" w14:textId="77777777" w:rsidR="008A4783" w:rsidRPr="00BF6526" w:rsidRDefault="008A4783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C3647B4" w14:textId="17395998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E2EE6DA" w14:textId="385AE960" w:rsidR="008A4783" w:rsidRDefault="008A4783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2B7D9DA" w14:textId="02BF3D7F" w:rsidR="008A4783" w:rsidRDefault="008A4783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6E82941" w14:textId="77777777" w:rsidR="008A4783" w:rsidRDefault="008A4783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980720B" w14:textId="77777777" w:rsidR="008A4783" w:rsidRDefault="008A4783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969A174" w14:textId="4A5825E2" w:rsidR="00C70454" w:rsidRDefault="00434313" w:rsidP="00D740E1">
      <w:pPr>
        <w:rPr>
          <w:rFonts w:ascii="Arial" w:hAnsi="Arial" w:cs="Arial"/>
          <w:color w:val="000000"/>
          <w:sz w:val="20"/>
          <w:szCs w:val="20"/>
        </w:rPr>
      </w:pPr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67463" behindDoc="0" locked="0" layoutInCell="1" allowOverlap="1" wp14:anchorId="6E792883" wp14:editId="448AA915">
            <wp:simplePos x="0" y="0"/>
            <wp:positionH relativeFrom="column">
              <wp:posOffset>1360967</wp:posOffset>
            </wp:positionH>
            <wp:positionV relativeFrom="paragraph">
              <wp:posOffset>142609</wp:posOffset>
            </wp:positionV>
            <wp:extent cx="499730" cy="683428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A98B" w14:textId="5F807B05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  <w:r w:rsidRPr="005D5A6E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6" behindDoc="1" locked="0" layoutInCell="1" allowOverlap="1" wp14:anchorId="05E956F0" wp14:editId="63B8EBA9">
            <wp:simplePos x="0" y="0"/>
            <wp:positionH relativeFrom="column">
              <wp:posOffset>-6048375</wp:posOffset>
            </wp:positionH>
            <wp:positionV relativeFrom="paragraph">
              <wp:posOffset>-1066800</wp:posOffset>
            </wp:positionV>
            <wp:extent cx="7684230" cy="1088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C2180" w14:textId="77EFECB0" w:rsidR="00C70454" w:rsidRDefault="00C70454" w:rsidP="00C70454">
      <w:pPr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3</w:t>
      </w: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: </w:t>
      </w:r>
      <w:r w:rsidRPr="00C7045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Enhanced Recovery </w:t>
      </w:r>
    </w:p>
    <w:p w14:paraId="654DE378" w14:textId="49CF6C1C" w:rsidR="00C70454" w:rsidRPr="00C70454" w:rsidRDefault="00A873FF" w:rsidP="00C70454">
      <w:pPr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a</w:t>
      </w:r>
      <w:r w:rsidRPr="00C7045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fter </w:t>
      </w:r>
      <w:r w:rsidR="00C70454" w:rsidRPr="00C70454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Surgery (ERAS)</w:t>
      </w:r>
    </w:p>
    <w:p w14:paraId="781C66BB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9E029A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D6B2B9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348E4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5FF2AC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ED91E4" w14:textId="77777777" w:rsidR="00C70454" w:rsidRDefault="00C70454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02B6C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B2A3600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D666BB4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D3E99BB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59C5D65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AB7C9F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7CB5C7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FA67434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FC4D338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CE7ED7F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88F1F8B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5B9DB75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624E7AE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0D8BF5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630A71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386482A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18B38F1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5144C8C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6C945EA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28BFE8C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FB100D9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47A6352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640F62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52F8324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AC6E187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AC6F5FF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DD81E83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7177091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9463095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4C2B007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BE7C59A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5945C3E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7A39250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930CE19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05F500E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38EDAB0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A687537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465C10F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EAC1C84" w14:textId="77777777" w:rsidR="00C70454" w:rsidRDefault="00C70454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BCEB30B" w14:textId="77777777" w:rsidR="00D740E1" w:rsidRDefault="00D740E1" w:rsidP="00D740E1">
      <w:pPr>
        <w:ind w:firstLine="72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358E42" wp14:editId="499F47FA">
            <wp:extent cx="5071533" cy="1989667"/>
            <wp:effectExtent l="0" t="0" r="0" b="4445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24E79363-6630-034A-46CA-6AFFAFC66A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B78496" w14:textId="77777777" w:rsidR="00D740E1" w:rsidRDefault="00D740E1" w:rsidP="00D740E1">
      <w:pPr>
        <w:jc w:val="center"/>
        <w:rPr>
          <w:noProof/>
        </w:rPr>
      </w:pPr>
    </w:p>
    <w:p w14:paraId="4266554B" w14:textId="069DF524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54A6B54" w14:textId="130417B0" w:rsidR="008A4783" w:rsidRDefault="008A4783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F0D67D2" w14:textId="41E4ADA6" w:rsidR="008A4783" w:rsidRDefault="008A4783" w:rsidP="00D26656">
      <w:pPr>
        <w:ind w:left="-142" w:right="-4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0C58747" wp14:editId="5ECD5FA0">
            <wp:extent cx="6365966" cy="4187553"/>
            <wp:effectExtent l="0" t="0" r="0" b="381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B551934-8A3B-04B6-B951-0FCD456CA6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CE69D7B" w14:textId="77777777" w:rsidR="00AA2934" w:rsidRDefault="00AA2934" w:rsidP="00D26656">
      <w:pPr>
        <w:ind w:left="-142" w:right="-46"/>
        <w:rPr>
          <w:rFonts w:ascii="Arial" w:hAnsi="Arial" w:cs="Arial"/>
          <w:color w:val="000000"/>
          <w:sz w:val="20"/>
          <w:szCs w:val="20"/>
        </w:rPr>
      </w:pPr>
    </w:p>
    <w:p w14:paraId="62E3F0EC" w14:textId="77777777" w:rsidR="00D26656" w:rsidRDefault="00D26656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D27FA27" w14:textId="1B3D428E" w:rsidR="00D26656" w:rsidRDefault="00D26656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82F0F70" w14:textId="77777777" w:rsidR="00D26656" w:rsidRDefault="00D26656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1B2A5B8" w14:textId="77777777" w:rsidR="000E2541" w:rsidRDefault="000E2541" w:rsidP="00D740E1">
      <w:pP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</w:pPr>
    </w:p>
    <w:p w14:paraId="6AE3002D" w14:textId="07DA565E" w:rsidR="00D740E1" w:rsidRDefault="00D740E1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5A454E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Figure </w:t>
      </w:r>
      <w:r w:rsidR="002B5DB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3</w:t>
      </w:r>
      <w:r w:rsidR="0058589F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.1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873FF">
        <w:rPr>
          <w:rFonts w:ascii="Arial" w:hAnsi="Arial" w:cs="Arial"/>
          <w:noProof/>
          <w:color w:val="000000" w:themeColor="text1"/>
          <w:sz w:val="22"/>
          <w:szCs w:val="22"/>
        </w:rPr>
        <w:t>Rates of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Enhanced Recovery After Surgery (ERAS) range from 0-10% to 91-100% across units, with a median</w:t>
      </w:r>
      <w:r w:rsidR="001455E1">
        <w:rPr>
          <w:rFonts w:ascii="Arial" w:hAnsi="Arial" w:cs="Arial"/>
          <w:noProof/>
          <w:color w:val="000000" w:themeColor="text1"/>
          <w:sz w:val="22"/>
          <w:szCs w:val="22"/>
        </w:rPr>
        <w:t xml:space="preserve"> group of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1455E1">
        <w:rPr>
          <w:rFonts w:ascii="Arial" w:hAnsi="Arial" w:cs="Arial"/>
          <w:noProof/>
          <w:color w:val="000000" w:themeColor="text1"/>
          <w:sz w:val="22"/>
          <w:szCs w:val="22"/>
        </w:rPr>
        <w:t>61-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>70</w:t>
      </w:r>
      <w:r w:rsidR="00A873FF">
        <w:rPr>
          <w:rFonts w:ascii="Arial" w:hAnsi="Arial" w:cs="Arial"/>
          <w:noProof/>
          <w:color w:val="000000" w:themeColor="text1"/>
          <w:sz w:val="22"/>
          <w:szCs w:val="22"/>
        </w:rPr>
        <w:t>%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(</w:t>
      </w:r>
      <w:r w:rsidR="00D412BC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m</w:t>
      </w:r>
      <w:r w:rsidRPr="005A454E">
        <w:rPr>
          <w:rFonts w:ascii="Arial" w:hAnsi="Arial" w:cs="Arial"/>
          <w:i/>
          <w:iCs/>
          <w:noProof/>
          <w:color w:val="000000" w:themeColor="text1"/>
          <w:sz w:val="22"/>
          <w:szCs w:val="22"/>
        </w:rPr>
        <w:t>ean =</w:t>
      </w:r>
      <w:r w:rsidRPr="005A454E">
        <w:rPr>
          <w:rFonts w:ascii="Arial" w:hAnsi="Arial" w:cs="Arial"/>
          <w:noProof/>
          <w:color w:val="000000" w:themeColor="text1"/>
          <w:sz w:val="22"/>
          <w:szCs w:val="22"/>
        </w:rPr>
        <w:t xml:space="preserve"> 61.1</w:t>
      </w:r>
      <w:r w:rsidR="00DA39EA">
        <w:rPr>
          <w:rFonts w:ascii="Arial" w:hAnsi="Arial" w:cs="Arial"/>
          <w:noProof/>
          <w:color w:val="000000" w:themeColor="text1"/>
          <w:sz w:val="22"/>
          <w:szCs w:val="22"/>
        </w:rPr>
        <w:t xml:space="preserve">, 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 xml:space="preserve">IQR </w:t>
      </w:r>
      <w:r w:rsidR="00E0338B">
        <w:rPr>
          <w:rFonts w:ascii="Arial" w:hAnsi="Arial" w:cs="Arial"/>
          <w:noProof/>
          <w:color w:val="000000" w:themeColor="text1"/>
          <w:sz w:val="22"/>
          <w:szCs w:val="22"/>
        </w:rPr>
        <w:t>31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>-90%</w:t>
      </w:r>
      <w:r w:rsidR="00DA39EA">
        <w:rPr>
          <w:rFonts w:ascii="Arial" w:hAnsi="Arial" w:cs="Arial"/>
          <w:noProof/>
          <w:color w:val="000000" w:themeColor="text1"/>
          <w:sz w:val="22"/>
          <w:szCs w:val="22"/>
        </w:rPr>
        <w:t>)</w:t>
      </w:r>
      <w:r w:rsidR="00795B3C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5E30146F" w14:textId="758CE0AE" w:rsidR="00AA2934" w:rsidRDefault="00AA2934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89464CE" w14:textId="2FEBF466" w:rsidR="00AA2934" w:rsidRDefault="00AA2934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A0BC46D" w14:textId="007B3523" w:rsidR="00AA2934" w:rsidRDefault="00AA2934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5452840" w14:textId="77777777" w:rsidR="00AA2934" w:rsidRPr="005A454E" w:rsidRDefault="00AA2934" w:rsidP="00D740E1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24C6D9AC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B99624A" w14:textId="77777777" w:rsidR="00D740E1" w:rsidRDefault="00D740E1" w:rsidP="00C70454">
      <w:pPr>
        <w:rPr>
          <w:rFonts w:ascii="Arial" w:hAnsi="Arial" w:cs="Arial"/>
          <w:color w:val="000000"/>
          <w:sz w:val="20"/>
          <w:szCs w:val="20"/>
        </w:rPr>
      </w:pPr>
    </w:p>
    <w:p w14:paraId="465CA3AC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AFFE1D0" w14:textId="32B22066" w:rsidR="00D740E1" w:rsidRPr="007138E8" w:rsidRDefault="00434313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69511" behindDoc="0" locked="0" layoutInCell="1" allowOverlap="1" wp14:anchorId="7691C5F6" wp14:editId="3D697FBF">
            <wp:simplePos x="0" y="0"/>
            <wp:positionH relativeFrom="column">
              <wp:posOffset>1350335</wp:posOffset>
            </wp:positionH>
            <wp:positionV relativeFrom="paragraph">
              <wp:posOffset>-191386</wp:posOffset>
            </wp:positionV>
            <wp:extent cx="499730" cy="683428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5D5A6E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2" behindDoc="1" locked="0" layoutInCell="1" allowOverlap="1" wp14:anchorId="17EEA6B9" wp14:editId="397EC6E6">
            <wp:simplePos x="0" y="0"/>
            <wp:positionH relativeFrom="column">
              <wp:posOffset>-6059055</wp:posOffset>
            </wp:positionH>
            <wp:positionV relativeFrom="paragraph">
              <wp:posOffset>-921385</wp:posOffset>
            </wp:positionV>
            <wp:extent cx="7684230" cy="10886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4</w:t>
      </w:r>
      <w:r w:rsidR="00D740E1"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: Thoracic ward structures </w:t>
      </w:r>
    </w:p>
    <w:p w14:paraId="7586CAB7" w14:textId="29E65688" w:rsidR="00D740E1" w:rsidRPr="00211A80" w:rsidRDefault="00D740E1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000000"/>
          <w:lang w:val="en-US"/>
        </w:rPr>
      </w:pPr>
      <w:r w:rsidRPr="009332B4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11A80">
        <w:rPr>
          <w:rFonts w:ascii="Arial" w:hAnsi="Arial" w:cs="Arial"/>
          <w:b/>
          <w:bCs/>
          <w:color w:val="000000"/>
          <w:lang w:val="en-US"/>
        </w:rPr>
        <w:t>Dedicated Thoracic surgery ward</w:t>
      </w:r>
      <w:r w:rsidRPr="00211A80">
        <w:rPr>
          <w:rFonts w:ascii="Arial" w:hAnsi="Arial" w:cs="Arial"/>
          <w:b/>
          <w:bCs/>
          <w:color w:val="000000"/>
          <w:lang w:val="en-US"/>
        </w:rPr>
        <w:tab/>
      </w:r>
      <w:r w:rsidRPr="00211A80">
        <w:rPr>
          <w:rFonts w:ascii="Arial" w:hAnsi="Arial" w:cs="Arial"/>
          <w:b/>
          <w:bCs/>
          <w:color w:val="000000"/>
          <w:lang w:val="en-US"/>
        </w:rPr>
        <w:tab/>
      </w:r>
      <w:r w:rsidRPr="00211A80">
        <w:rPr>
          <w:rFonts w:ascii="Arial" w:hAnsi="Arial" w:cs="Arial"/>
          <w:b/>
          <w:bCs/>
          <w:color w:val="000000"/>
          <w:lang w:val="en-US"/>
        </w:rPr>
        <w:tab/>
      </w:r>
      <w:r w:rsidRPr="00211A80">
        <w:rPr>
          <w:rFonts w:ascii="Arial" w:hAnsi="Arial" w:cs="Arial"/>
          <w:b/>
          <w:bCs/>
          <w:color w:val="000000"/>
          <w:lang w:val="en-US"/>
        </w:rPr>
        <w:tab/>
      </w:r>
      <w:r w:rsidRPr="00211A80">
        <w:rPr>
          <w:rFonts w:ascii="Arial" w:hAnsi="Arial" w:cs="Arial"/>
          <w:b/>
          <w:bCs/>
          <w:color w:val="000000"/>
          <w:lang w:val="en-US"/>
        </w:rPr>
        <w:tab/>
      </w:r>
      <w:r w:rsidRPr="00211A80">
        <w:rPr>
          <w:rFonts w:ascii="Arial" w:hAnsi="Arial" w:cs="Arial"/>
          <w:b/>
          <w:bCs/>
          <w:color w:val="000000"/>
        </w:rPr>
        <w:t>Dedicated thoracic HDU/post-op recovery area</w:t>
      </w:r>
    </w:p>
    <w:p w14:paraId="4F1BCCE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8FE46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3AF9C5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88CE23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FCE53A8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96C366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77046F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95E5B80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3E91012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F1A62D2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24DFBCB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4C144A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572C2EF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EAD1A9F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1E330C3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3D26B0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A5FC7C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77EFF0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E0AD536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0A24365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C005E2C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52987C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54B2700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F2403F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3B7FF54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4CB1E00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F4A895D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984AACC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199313F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D030F43" w14:textId="6AD78455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FA1282A" wp14:editId="3CBC95A0">
            <wp:extent cx="5731510" cy="3902075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AC33B7E7-9F0A-D0E2-2478-8108BB7E5A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4385"/>
        <w:gridCol w:w="4819"/>
      </w:tblGrid>
      <w:tr w:rsidR="0051401E" w14:paraId="033EC7C8" w14:textId="77777777" w:rsidTr="0051401E">
        <w:trPr>
          <w:trHeight w:val="34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6A50E8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Dedicated thoracic surgery ward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AE8C07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dedicated ward</w:t>
            </w:r>
          </w:p>
        </w:tc>
      </w:tr>
      <w:tr w:rsidR="0051401E" w14:paraId="2A803D1E" w14:textId="77777777" w:rsidTr="0051401E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82F1F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 Hill Hospital, Hull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C894DF3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Aberdeen Royal Infirmary</w:t>
            </w:r>
          </w:p>
        </w:tc>
      </w:tr>
      <w:tr w:rsidR="0051401E" w14:paraId="2227DD30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4B57993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Derriford Hospital, Plymouth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105AF6F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Basildon University Hospital</w:t>
            </w:r>
          </w:p>
        </w:tc>
      </w:tr>
      <w:tr w:rsidR="0051401E" w14:paraId="2C976054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5D4630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Glenfield Hospital, Leicester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B5A91C8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Bristol Royal Infirmary</w:t>
            </w:r>
          </w:p>
        </w:tc>
      </w:tr>
      <w:tr w:rsidR="0051401E" w14:paraId="3E689CBB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57329C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Golden Jubilee National Hospital, Glasgow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A3D5813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Freeman Hospital, Newcastle </w:t>
            </w:r>
          </w:p>
        </w:tc>
      </w:tr>
      <w:tr w:rsidR="0051401E" w14:paraId="0D786B66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5184E1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Guy's Hospital, London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8638880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Hammersmith Hospital, London</w:t>
            </w:r>
          </w:p>
        </w:tc>
      </w:tr>
      <w:tr w:rsidR="0051401E" w14:paraId="0353B7EC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BCD3D0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Harefield Hospital, London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A16AF65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James Cook University Hospital, Middlesbrough</w:t>
            </w:r>
          </w:p>
        </w:tc>
      </w:tr>
      <w:tr w:rsidR="0051401E" w14:paraId="4DB63D8D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C3805F" w14:textId="37F2734F" w:rsidR="0051401E" w:rsidRDefault="00D25D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James’s University Hospital, Leeds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02099BA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King's College Hospital, London</w:t>
            </w:r>
          </w:p>
        </w:tc>
      </w:tr>
      <w:tr w:rsidR="0051401E" w14:paraId="6E774E07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6420EA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Liverpool Heart and Chest Hospital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34F90EB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Morriston Hospital, Swansea</w:t>
            </w:r>
          </w:p>
        </w:tc>
      </w:tr>
      <w:tr w:rsidR="0051401E" w14:paraId="1DABDD91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F94765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Norfolk and Norwich University Hospital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334DA6B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New Cross Hospital, Wolverhampton</w:t>
            </w:r>
          </w:p>
        </w:tc>
      </w:tr>
      <w:tr w:rsidR="0051401E" w14:paraId="7CC5B636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55FBAF9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Nottingham University Hospitals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494D540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Northern General Hospital, Sheffield </w:t>
            </w:r>
          </w:p>
        </w:tc>
      </w:tr>
      <w:tr w:rsidR="0051401E" w14:paraId="4442825D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EC3E23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Southampton General Hospital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D189CC1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Oxford University Hospitals </w:t>
            </w:r>
          </w:p>
        </w:tc>
      </w:tr>
      <w:tr w:rsidR="0051401E" w14:paraId="42E4B1C6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68FF2FD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Bartholomew's Hospital, London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B69BF82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Queen Elizabeth Hospital, Birmingham</w:t>
            </w:r>
          </w:p>
        </w:tc>
      </w:tr>
      <w:tr w:rsidR="0051401E" w14:paraId="416ACAE6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84C0B6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George's Hospital, London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1E1E068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Brompton Hospital, London</w:t>
            </w:r>
          </w:p>
        </w:tc>
      </w:tr>
      <w:tr w:rsidR="0051401E" w14:paraId="53BCC4EE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F6C095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Mater Hospital, Dublin 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D46E499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Infirmary of Edinburgh</w:t>
            </w:r>
          </w:p>
        </w:tc>
      </w:tr>
      <w:tr w:rsidR="0051401E" w14:paraId="0DB89EF0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DBC85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College London Hospital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9A157F9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Papworth Hospital, Cambridge</w:t>
            </w:r>
          </w:p>
        </w:tc>
      </w:tr>
      <w:tr w:rsidR="0051401E" w14:paraId="09F00E59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EB6087E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Coventry and Warwickshire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870C987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Victoria Hospital, Belfast</w:t>
            </w:r>
          </w:p>
        </w:tc>
      </w:tr>
      <w:tr w:rsidR="0051401E" w14:paraId="0D740DCB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6318B0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Galway University Hospital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9B70628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St. James's Hospital, Dublin</w:t>
            </w:r>
          </w:p>
        </w:tc>
      </w:tr>
      <w:tr w:rsidR="0051401E" w14:paraId="393B9788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841CF62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Wythenshawe Hospital, Manchester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FBDA3A4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of Wales, Cardiff</w:t>
            </w:r>
          </w:p>
        </w:tc>
      </w:tr>
      <w:tr w:rsidR="0051401E" w14:paraId="5DB626D0" w14:textId="77777777" w:rsidTr="0051401E">
        <w:trPr>
          <w:trHeight w:val="32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E3104CA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9917EB0" w14:textId="5569373B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North Midlands, Stoke-</w:t>
            </w:r>
            <w:r w:rsidR="00C2020B">
              <w:rPr>
                <w:rFonts w:ascii="Arial" w:hAnsi="Arial" w:cs="Arial"/>
                <w:color w:val="FFFFFF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-Trent</w:t>
            </w:r>
          </w:p>
        </w:tc>
      </w:tr>
      <w:tr w:rsidR="0051401E" w14:paraId="35E2EC21" w14:textId="77777777" w:rsidTr="0051401E">
        <w:trPr>
          <w:trHeight w:val="340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FFBE396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D56CC27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Victoria Hospital, Blackpool</w:t>
            </w:r>
          </w:p>
        </w:tc>
      </w:tr>
    </w:tbl>
    <w:p w14:paraId="240BD7D8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55DEFB05" w14:textId="04F53EB4" w:rsidR="00D740E1" w:rsidRPr="00BA260F" w:rsidRDefault="00D740E1" w:rsidP="00D740E1">
      <w:pPr>
        <w:rPr>
          <w:rFonts w:ascii="Arial" w:hAnsi="Arial" w:cs="Arial"/>
          <w:color w:val="000000" w:themeColor="text1"/>
          <w:sz w:val="22"/>
          <w:szCs w:val="22"/>
        </w:rPr>
      </w:pPr>
      <w:r w:rsidRPr="00BA26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Figure </w:t>
      </w:r>
      <w:r w:rsidR="002B5DBF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58589F" w:rsidRPr="00BA26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.1 </w:t>
      </w:r>
      <w:r w:rsidRPr="00BA260F">
        <w:rPr>
          <w:rFonts w:ascii="Arial" w:hAnsi="Arial" w:cs="Arial"/>
          <w:color w:val="000000" w:themeColor="text1"/>
          <w:sz w:val="22"/>
          <w:szCs w:val="22"/>
        </w:rPr>
        <w:t>There are 18 units with (47%) and 20 units without (53%) a dedicated thoracic surgery ward (</w:t>
      </w:r>
      <w:r w:rsidR="00D412BC" w:rsidRPr="00BA260F">
        <w:rPr>
          <w:rFonts w:ascii="Arial" w:hAnsi="Arial" w:cs="Arial"/>
          <w:i/>
          <w:iCs/>
          <w:color w:val="000000" w:themeColor="text1"/>
          <w:sz w:val="22"/>
          <w:szCs w:val="22"/>
        </w:rPr>
        <w:t>n</w:t>
      </w:r>
      <w:r w:rsidRPr="00BA260F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= </w:t>
      </w:r>
      <w:r w:rsidRPr="00BA260F">
        <w:rPr>
          <w:rFonts w:ascii="Arial" w:hAnsi="Arial" w:cs="Arial"/>
          <w:color w:val="000000" w:themeColor="text1"/>
          <w:sz w:val="22"/>
          <w:szCs w:val="22"/>
        </w:rPr>
        <w:t>38)</w:t>
      </w:r>
      <w:r w:rsidR="009D149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650DC82" w14:textId="313B8DB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53AA12" wp14:editId="7F0D04F1">
            <wp:extent cx="5731510" cy="33909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883DEBD-B21C-5C18-7251-FC6BC25CA5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4B87B92" w14:textId="446984ED" w:rsidR="0051401E" w:rsidRDefault="0051401E" w:rsidP="00D740E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3959"/>
        <w:gridCol w:w="4395"/>
      </w:tblGrid>
      <w:tr w:rsidR="0051401E" w14:paraId="541CC026" w14:textId="77777777" w:rsidTr="0051401E">
        <w:trPr>
          <w:trHeight w:val="58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14:paraId="37F10154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Dedicated thoracic HDU/post op recovery area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CCD539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dedicated area</w:t>
            </w:r>
          </w:p>
        </w:tc>
      </w:tr>
      <w:tr w:rsidR="0051401E" w14:paraId="69FFE8CF" w14:textId="77777777" w:rsidTr="0051401E">
        <w:trPr>
          <w:trHeight w:val="34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E0466D7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Basildon University Hospital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9EA3BAB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Aberdeen Royal Infirmary</w:t>
            </w:r>
          </w:p>
        </w:tc>
      </w:tr>
      <w:tr w:rsidR="0051401E" w14:paraId="5A5657FF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993374D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 Hill Hospital, Hull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FBD403E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Bristol Royal Infirmary</w:t>
            </w:r>
          </w:p>
        </w:tc>
      </w:tr>
      <w:tr w:rsidR="0051401E" w14:paraId="0CBD27F7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D7ACACC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Derriford Hospital, Plymouth 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AC2C2F0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Hammersmith Hospital, London</w:t>
            </w:r>
          </w:p>
        </w:tc>
      </w:tr>
      <w:tr w:rsidR="0051401E" w14:paraId="1BBF8BD8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FB2D9BD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Freeman Hospital, Newcastle 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B580B8B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James Cook University Hospital, Middlesbrough</w:t>
            </w:r>
          </w:p>
        </w:tc>
      </w:tr>
      <w:tr w:rsidR="0051401E" w14:paraId="43F8C3A5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E64A7BA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Glenfield Hospital, Leicester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6833E46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King's College Hospital, London</w:t>
            </w:r>
          </w:p>
        </w:tc>
      </w:tr>
      <w:tr w:rsidR="0051401E" w14:paraId="4AD3509A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9765DF8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Golden Jubilee National Hospital, Glasgow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CFFC272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Liverpool Heart and Chest Hospital</w:t>
            </w:r>
          </w:p>
        </w:tc>
      </w:tr>
      <w:tr w:rsidR="0051401E" w14:paraId="0608FF2A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7C7FED6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Guy's Hospital, London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E8817E2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Morriston Hospital, Swansea</w:t>
            </w:r>
          </w:p>
        </w:tc>
      </w:tr>
      <w:tr w:rsidR="0051401E" w14:paraId="0D172CC8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319B5E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Harefield Hospital, London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42225F6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New Cross Hospital, Wolverhampton</w:t>
            </w:r>
          </w:p>
        </w:tc>
      </w:tr>
      <w:tr w:rsidR="0051401E" w14:paraId="17E88902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D1DA309" w14:textId="18BB1920" w:rsidR="0051401E" w:rsidRDefault="00D25DE8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James’s University Hospital,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Leeds</w:t>
            </w:r>
            <w:proofErr w:type="spellEnd"/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5047AD2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Norfolk and Norwich University Hospital</w:t>
            </w:r>
          </w:p>
        </w:tc>
      </w:tr>
      <w:tr w:rsidR="0051401E" w14:paraId="373BCED8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DCC67A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Nottingham University Hospitals 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6B70B5E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Northern General Hospital, Sheffield </w:t>
            </w:r>
          </w:p>
        </w:tc>
      </w:tr>
      <w:tr w:rsidR="0051401E" w14:paraId="0CB3278F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C7B0911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 Elizabeth Hospital, Birmingham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717876C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Oxford University Hospitals </w:t>
            </w:r>
          </w:p>
        </w:tc>
      </w:tr>
      <w:tr w:rsidR="0051401E" w14:paraId="4685ECB1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0014CF3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Infirmary of Edinburgh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CF1E25D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Brompton Hospital, London</w:t>
            </w:r>
          </w:p>
        </w:tc>
      </w:tr>
      <w:tr w:rsidR="0051401E" w14:paraId="7C919642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AD61327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Papworth Hospital, Cambridge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1A97245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Victoria Hospital, Belfast</w:t>
            </w:r>
          </w:p>
        </w:tc>
      </w:tr>
      <w:tr w:rsidR="0051401E" w14:paraId="46C715A2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83E4FF8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George's Hospital, London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98ECFD0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Southampton General Hospital</w:t>
            </w:r>
          </w:p>
        </w:tc>
      </w:tr>
      <w:tr w:rsidR="0051401E" w14:paraId="32B56F88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E95D518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James's Hospital, Dublin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51CF37A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St Bartholomew's Hospital, London</w:t>
            </w:r>
          </w:p>
        </w:tc>
      </w:tr>
      <w:tr w:rsidR="0051401E" w14:paraId="3F01F2C9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5847092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Mater Hospital, Dublin 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4DF8BC5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of Wales, Cardiff</w:t>
            </w:r>
          </w:p>
        </w:tc>
      </w:tr>
      <w:tr w:rsidR="0051401E" w14:paraId="260B74AD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CBEA5A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College London Hospital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1EA56A9" w14:textId="10EE6211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North Midlands, Stoke-</w:t>
            </w:r>
            <w:r w:rsidR="00C2020B">
              <w:rPr>
                <w:rFonts w:ascii="Arial" w:hAnsi="Arial" w:cs="Arial"/>
                <w:color w:val="FFFFFF"/>
                <w:sz w:val="18"/>
                <w:szCs w:val="18"/>
              </w:rPr>
              <w:t>on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-Trent</w:t>
            </w:r>
          </w:p>
        </w:tc>
      </w:tr>
      <w:tr w:rsidR="0051401E" w14:paraId="5230AD52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87DE2D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Coventry and Warwickshire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7632936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4473D491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075FF2D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Galway University Hospital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9CB39C4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141FF4E1" w14:textId="77777777" w:rsidTr="0051401E">
        <w:trPr>
          <w:trHeight w:val="32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AE99A4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Victoria Hospital, Blackpool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748EFB0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04B602CF" w14:textId="77777777" w:rsidTr="0051401E">
        <w:trPr>
          <w:trHeight w:val="34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9020939" w14:textId="77777777" w:rsidR="0051401E" w:rsidRDefault="0051401E" w:rsidP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Wythenshawe Hospital, Manchester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E288CFF" w14:textId="77777777" w:rsidR="0051401E" w:rsidRDefault="0051401E" w:rsidP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</w:tbl>
    <w:p w14:paraId="0B9E685D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5A5F153" w14:textId="4F733138" w:rsidR="00D740E1" w:rsidRPr="0051401E" w:rsidRDefault="00D740E1" w:rsidP="00D740E1">
      <w:pPr>
        <w:rPr>
          <w:rFonts w:ascii="Arial" w:hAnsi="Arial" w:cs="Arial"/>
          <w:color w:val="000000" w:themeColor="text1"/>
          <w:sz w:val="20"/>
          <w:szCs w:val="20"/>
        </w:rPr>
      </w:pPr>
      <w:r w:rsidRPr="005A45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Figure </w:t>
      </w:r>
      <w:r w:rsidR="002B5DBF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5858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.2 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>There are 21 units with (55%) and 17 units without (45%) a dedicated thoracic HDU / post op recovery area (</w:t>
      </w:r>
      <w:r w:rsidR="00D412BC">
        <w:rPr>
          <w:rFonts w:ascii="Arial" w:hAnsi="Arial" w:cs="Arial"/>
          <w:i/>
          <w:iCs/>
          <w:color w:val="000000" w:themeColor="text1"/>
          <w:sz w:val="20"/>
          <w:szCs w:val="20"/>
        </w:rPr>
        <w:t>n</w:t>
      </w:r>
      <w:r w:rsidRPr="005A454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= 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>38)</w:t>
      </w:r>
      <w:r w:rsidR="009D149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A27B2F4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008FE28" w14:textId="6B87BFEF" w:rsidR="00D740E1" w:rsidRDefault="00434313" w:rsidP="00D740E1">
      <w:pPr>
        <w:rPr>
          <w:rFonts w:ascii="Arial" w:hAnsi="Arial" w:cs="Arial"/>
          <w:color w:val="000000"/>
          <w:sz w:val="20"/>
          <w:szCs w:val="20"/>
        </w:rPr>
      </w:pPr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71559" behindDoc="0" locked="0" layoutInCell="1" allowOverlap="1" wp14:anchorId="7969F4A2" wp14:editId="3A0D768A">
            <wp:simplePos x="0" y="0"/>
            <wp:positionH relativeFrom="column">
              <wp:posOffset>1329069</wp:posOffset>
            </wp:positionH>
            <wp:positionV relativeFrom="paragraph">
              <wp:posOffset>-35339</wp:posOffset>
            </wp:positionV>
            <wp:extent cx="499730" cy="683428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AEAE4" w14:textId="65C5ACEC" w:rsidR="00D740E1" w:rsidRPr="007138E8" w:rsidRDefault="00D740E1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5D5A6E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3" behindDoc="1" locked="0" layoutInCell="1" allowOverlap="1" wp14:anchorId="13D8C6A4" wp14:editId="7E493666">
            <wp:simplePos x="0" y="0"/>
            <wp:positionH relativeFrom="column">
              <wp:posOffset>-6058881</wp:posOffset>
            </wp:positionH>
            <wp:positionV relativeFrom="paragraph">
              <wp:posOffset>-1112232</wp:posOffset>
            </wp:positionV>
            <wp:extent cx="7684230" cy="10886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5</w:t>
      </w:r>
      <w:r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: Robotic </w:t>
      </w:r>
      <w:r w:rsidR="00C2020B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thoracic </w:t>
      </w:r>
      <w:r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surgery </w:t>
      </w:r>
    </w:p>
    <w:p w14:paraId="67AD1DE0" w14:textId="2DAA4D86" w:rsidR="00211A80" w:rsidRDefault="00D740E1" w:rsidP="00211A80">
      <w:pPr>
        <w:spacing w:line="360" w:lineRule="auto"/>
        <w:ind w:left="3600" w:right="-330"/>
        <w:jc w:val="right"/>
        <w:rPr>
          <w:rFonts w:ascii="Arial" w:hAnsi="Arial" w:cs="Arial"/>
          <w:b/>
          <w:bCs/>
          <w:color w:val="000000"/>
        </w:rPr>
      </w:pPr>
      <w:r w:rsidRPr="00211A80">
        <w:rPr>
          <w:rFonts w:ascii="Arial" w:hAnsi="Arial" w:cs="Arial"/>
          <w:b/>
          <w:bCs/>
          <w:color w:val="000000"/>
        </w:rPr>
        <w:t xml:space="preserve">Approval for </w:t>
      </w:r>
      <w:r w:rsidR="00C2020B" w:rsidRPr="00211A80">
        <w:rPr>
          <w:rFonts w:ascii="Arial" w:hAnsi="Arial" w:cs="Arial"/>
          <w:b/>
          <w:bCs/>
          <w:color w:val="000000"/>
        </w:rPr>
        <w:t xml:space="preserve">robotic </w:t>
      </w:r>
      <w:r w:rsidRPr="00211A80">
        <w:rPr>
          <w:rFonts w:ascii="Arial" w:hAnsi="Arial" w:cs="Arial"/>
          <w:b/>
          <w:bCs/>
          <w:color w:val="000000"/>
        </w:rPr>
        <w:t>thoracic surgery</w:t>
      </w:r>
      <w:r w:rsidR="00211A80">
        <w:rPr>
          <w:rFonts w:ascii="Arial" w:hAnsi="Arial" w:cs="Arial"/>
          <w:b/>
          <w:bCs/>
          <w:color w:val="000000"/>
        </w:rPr>
        <w:t xml:space="preserve"> </w:t>
      </w:r>
      <w:r w:rsidRPr="00211A80">
        <w:rPr>
          <w:rFonts w:ascii="Arial" w:hAnsi="Arial" w:cs="Arial"/>
          <w:b/>
          <w:bCs/>
          <w:color w:val="000000"/>
        </w:rPr>
        <w:t>programme</w:t>
      </w:r>
    </w:p>
    <w:p w14:paraId="39C20BA0" w14:textId="5E2F16B3" w:rsidR="00211A80" w:rsidRDefault="00C2020B" w:rsidP="00211A80">
      <w:pPr>
        <w:spacing w:line="360" w:lineRule="auto"/>
        <w:ind w:left="3600" w:right="-330"/>
        <w:jc w:val="right"/>
        <w:rPr>
          <w:rFonts w:ascii="Arial" w:hAnsi="Arial" w:cs="Arial"/>
          <w:b/>
          <w:bCs/>
          <w:color w:val="000000"/>
        </w:rPr>
      </w:pPr>
      <w:r w:rsidRPr="00211A80">
        <w:rPr>
          <w:rFonts w:ascii="Arial" w:hAnsi="Arial" w:cs="Arial"/>
          <w:b/>
          <w:bCs/>
          <w:color w:val="000000"/>
        </w:rPr>
        <w:t xml:space="preserve">Established robotic </w:t>
      </w:r>
      <w:r w:rsidR="00D740E1" w:rsidRPr="00211A80">
        <w:rPr>
          <w:rFonts w:ascii="Arial" w:hAnsi="Arial" w:cs="Arial"/>
          <w:b/>
          <w:bCs/>
          <w:color w:val="000000"/>
        </w:rPr>
        <w:t>thoracic surgery</w:t>
      </w:r>
      <w:r w:rsidR="00211A80">
        <w:rPr>
          <w:rFonts w:ascii="Arial" w:hAnsi="Arial" w:cs="Arial"/>
          <w:b/>
          <w:bCs/>
          <w:color w:val="000000"/>
        </w:rPr>
        <w:t xml:space="preserve"> </w:t>
      </w:r>
      <w:r w:rsidR="00D740E1" w:rsidRPr="00211A80">
        <w:rPr>
          <w:rFonts w:ascii="Arial" w:hAnsi="Arial" w:cs="Arial"/>
          <w:b/>
          <w:bCs/>
          <w:color w:val="000000"/>
        </w:rPr>
        <w:t>operations</w:t>
      </w:r>
    </w:p>
    <w:p w14:paraId="61E22D08" w14:textId="5B48FA75" w:rsidR="00D740E1" w:rsidRPr="00211A80" w:rsidRDefault="006E0626" w:rsidP="00211A80">
      <w:pPr>
        <w:spacing w:line="360" w:lineRule="auto"/>
        <w:ind w:left="3600" w:right="-330" w:firstLine="720"/>
        <w:jc w:val="right"/>
        <w:rPr>
          <w:rFonts w:ascii="Arial" w:hAnsi="Arial" w:cs="Arial"/>
          <w:b/>
          <w:bCs/>
          <w:color w:val="000000"/>
        </w:rPr>
      </w:pPr>
      <w:r w:rsidRPr="00211A80">
        <w:rPr>
          <w:rFonts w:ascii="Arial" w:hAnsi="Arial" w:cs="Arial"/>
          <w:b/>
          <w:bCs/>
          <w:color w:val="000000"/>
        </w:rPr>
        <w:t>R</w:t>
      </w:r>
      <w:r w:rsidR="00D740E1" w:rsidRPr="00211A80">
        <w:rPr>
          <w:rFonts w:ascii="Arial" w:hAnsi="Arial" w:cs="Arial"/>
          <w:b/>
          <w:bCs/>
          <w:color w:val="000000"/>
        </w:rPr>
        <w:t>obotic system proposed or in use</w:t>
      </w:r>
    </w:p>
    <w:p w14:paraId="3CE66B4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AED87C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4B40EBF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AA69F69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53E59CE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4082BCB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885039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1E82AB3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2BAE353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6AFE03D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43A4C05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B8316B6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F0B151E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735E0F0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9032424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88E4175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472112E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709C5F0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CFB52D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10A4F279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22F6B791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DED0493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38D55F82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CBDCB7A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4833EB93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AE141BE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EA3D99B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6EE0095D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0B3450D" w14:textId="3CF143EF" w:rsidR="0051401E" w:rsidRDefault="00D740E1" w:rsidP="00D740E1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9B8E96E" wp14:editId="493A1208">
            <wp:extent cx="5430129" cy="3756074"/>
            <wp:effectExtent l="0" t="0" r="5715" b="317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E468DC95-485A-0A80-056A-6C530AE9EE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4385"/>
        <w:gridCol w:w="4536"/>
      </w:tblGrid>
      <w:tr w:rsidR="0051401E" w14:paraId="376F37AD" w14:textId="77777777" w:rsidTr="0051401E">
        <w:trPr>
          <w:trHeight w:val="3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9291641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Approval for robotic programme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476EB8" w14:textId="77777777" w:rsidR="0051401E" w:rsidRDefault="005140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approval for robotic programme</w:t>
            </w:r>
          </w:p>
        </w:tc>
      </w:tr>
      <w:tr w:rsidR="0051401E" w14:paraId="15940CA2" w14:textId="77777777" w:rsidTr="0051401E">
        <w:trPr>
          <w:trHeight w:val="3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0B7AF7B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Aberdeen Royal Infirmary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1D3CE09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Basildon University Hospital</w:t>
            </w:r>
          </w:p>
        </w:tc>
      </w:tr>
      <w:tr w:rsidR="0051401E" w14:paraId="564602AD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BB562C3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 Hill Hospital, Hull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89AD0B9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Bristol Royal Infirmary</w:t>
            </w:r>
          </w:p>
        </w:tc>
      </w:tr>
      <w:tr w:rsidR="0051401E" w14:paraId="3309F33E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E18CE6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Derriford Hospital, Plymouth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5E73C88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Glenfield Hospital, Leicester</w:t>
            </w:r>
          </w:p>
        </w:tc>
      </w:tr>
      <w:tr w:rsidR="0051401E" w14:paraId="275DF1B2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FC5501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Freeman Hospital, Newcastle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F9E4F87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Hammersmith Hospital, London</w:t>
            </w:r>
          </w:p>
        </w:tc>
      </w:tr>
      <w:tr w:rsidR="0051401E" w14:paraId="550DEE0C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0DF2AF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Golden Jubilee National Hospital, Glasgow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424062E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Harefield Hospital, London</w:t>
            </w:r>
          </w:p>
        </w:tc>
      </w:tr>
      <w:tr w:rsidR="0051401E" w14:paraId="366E4669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722C50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Guy's Hospital, London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11AA665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King's College Hospital, London</w:t>
            </w:r>
          </w:p>
        </w:tc>
      </w:tr>
      <w:tr w:rsidR="0051401E" w14:paraId="2941B51B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F8FFC31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James Cook University Hospital, Middlesbrough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1CAB9AC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Morriston Hospital, Swansea</w:t>
            </w:r>
          </w:p>
        </w:tc>
      </w:tr>
      <w:tr w:rsidR="0051401E" w14:paraId="40598708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8CD9A6F" w14:textId="01110018" w:rsidR="0051401E" w:rsidRDefault="00D25D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James’s University Hospital, Leeds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2AA750E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Northern General Hospital, Sheffield </w:t>
            </w:r>
          </w:p>
        </w:tc>
      </w:tr>
      <w:tr w:rsidR="0051401E" w14:paraId="6BD88AEF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9E1BCB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Liverpool Heart and Chest Hospital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D9D0513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Oxford University Hospitals </w:t>
            </w:r>
          </w:p>
        </w:tc>
      </w:tr>
      <w:tr w:rsidR="0051401E" w14:paraId="52921198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D56D54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Cross Hospital, Wolverhampton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740F8B5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Queen Elizabeth Hospital, Birmingham</w:t>
            </w:r>
          </w:p>
        </w:tc>
      </w:tr>
      <w:tr w:rsidR="0051401E" w14:paraId="310E5392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B9C5E4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Norfolk and Norwich University Hospital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9E99538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Papworth Hospital, Cambridge</w:t>
            </w:r>
          </w:p>
        </w:tc>
      </w:tr>
      <w:tr w:rsidR="0051401E" w14:paraId="2E5A4017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A8D3CC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Nottingham University Hospitals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0D1DEBA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Victoria Hospital, Belfast</w:t>
            </w:r>
          </w:p>
        </w:tc>
      </w:tr>
      <w:tr w:rsidR="0051401E" w14:paraId="056B2BE6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75986E0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Brompton Hospital, London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0981505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of Wales, Cardiff</w:t>
            </w:r>
          </w:p>
        </w:tc>
      </w:tr>
      <w:tr w:rsidR="0051401E" w14:paraId="65D6E8EF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7FCA2D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Infirmary of Edinburgh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07C2651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Coventry and Warwickshire</w:t>
            </w:r>
          </w:p>
        </w:tc>
      </w:tr>
      <w:tr w:rsidR="0051401E" w14:paraId="638ACE1D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B30E3E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Southampton General Hospital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03605D6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Victoria Hospital, Blackpool</w:t>
            </w:r>
          </w:p>
        </w:tc>
      </w:tr>
      <w:tr w:rsidR="0051401E" w14:paraId="5E69BF02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121F2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Bartholomew's Hospital, London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541F53B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Wythenshawe Hospital, Manchester</w:t>
            </w:r>
          </w:p>
        </w:tc>
      </w:tr>
      <w:tr w:rsidR="0051401E" w14:paraId="29E3A970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9D1A31E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George's Hospital, London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A6B8540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6723EB56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DE80894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James's Hospital, Dublin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99DD5E7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4D0BB9AD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083C13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Mater Hospital, Dublin 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EF58C15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4F54F97F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5DEF697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College London Hospital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65A6E967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2416714E" w14:textId="77777777" w:rsidTr="0051401E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9F45841" w14:textId="77777777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Galway University Hospital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DEA644A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51401E" w14:paraId="47B357A4" w14:textId="77777777" w:rsidTr="0051401E">
        <w:trPr>
          <w:trHeight w:val="1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C059215" w14:textId="207A9406" w:rsidR="0051401E" w:rsidRDefault="00514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North Midlands, Stoke-</w:t>
            </w:r>
            <w:r w:rsidR="00135461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n-Trent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CC1F3D0" w14:textId="77777777" w:rsidR="0051401E" w:rsidRDefault="0051401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</w:tbl>
    <w:p w14:paraId="71A0CEF5" w14:textId="735002E4" w:rsidR="00D740E1" w:rsidRPr="005A454E" w:rsidRDefault="00D740E1" w:rsidP="00D740E1">
      <w:pPr>
        <w:rPr>
          <w:rFonts w:ascii="Arial" w:hAnsi="Arial" w:cs="Arial"/>
          <w:color w:val="000000" w:themeColor="text1"/>
          <w:sz w:val="20"/>
          <w:szCs w:val="20"/>
        </w:rPr>
      </w:pPr>
      <w:r w:rsidRPr="005A45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Figure </w:t>
      </w:r>
      <w:r w:rsidR="002B5DB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58589F">
        <w:rPr>
          <w:rFonts w:ascii="Arial" w:hAnsi="Arial" w:cs="Arial"/>
          <w:b/>
          <w:bCs/>
          <w:color w:val="000000" w:themeColor="text1"/>
          <w:sz w:val="20"/>
          <w:szCs w:val="20"/>
        </w:rPr>
        <w:t>.1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 xml:space="preserve"> There are 22 units with (58%) and 16 units without (42%) approval for a robotic programme (</w:t>
      </w:r>
      <w:r w:rsidR="00D412BC">
        <w:rPr>
          <w:rFonts w:ascii="Arial" w:hAnsi="Arial" w:cs="Arial"/>
          <w:i/>
          <w:iCs/>
          <w:color w:val="000000" w:themeColor="text1"/>
          <w:sz w:val="20"/>
          <w:szCs w:val="20"/>
        </w:rPr>
        <w:t>n</w:t>
      </w:r>
      <w:r w:rsidRPr="005A454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= 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>38)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13070A9" w14:textId="77777777" w:rsidR="00D740E1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A5ECD58" w14:textId="77777777" w:rsidR="00D740E1" w:rsidRDefault="00D740E1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CF5D887" wp14:editId="4C720E65">
            <wp:extent cx="6183517" cy="3534033"/>
            <wp:effectExtent l="0" t="0" r="1905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C9B3162B-EFEA-78D5-F9DE-293856A5E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4385"/>
        <w:gridCol w:w="4961"/>
      </w:tblGrid>
      <w:tr w:rsidR="00A40A42" w14:paraId="52C4EA76" w14:textId="77777777" w:rsidTr="00A40A42">
        <w:trPr>
          <w:trHeight w:val="34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C8D353" w14:textId="77777777" w:rsidR="00A40A42" w:rsidRDefault="00A40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Started thoracic surgery robotic operations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5FD040" w14:textId="77777777" w:rsidR="00A40A42" w:rsidRDefault="00A40A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started robotic operations</w:t>
            </w:r>
          </w:p>
        </w:tc>
      </w:tr>
      <w:tr w:rsidR="00A40A42" w14:paraId="72CE9BD0" w14:textId="77777777" w:rsidTr="00A40A42">
        <w:trPr>
          <w:trHeight w:val="34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638815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Aberdeen Royal Infirmary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06877F3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Basildon University Hospital</w:t>
            </w:r>
          </w:p>
        </w:tc>
      </w:tr>
      <w:tr w:rsidR="00A40A42" w14:paraId="60FAD892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B3C622F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Castle Hill Hospital, Hull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68FAD5E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Bristol Royal Infirmary</w:t>
            </w:r>
          </w:p>
        </w:tc>
      </w:tr>
      <w:tr w:rsidR="00A40A42" w14:paraId="5AA0FAB7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25348AF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Derriford Hospital, Plymouth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0182DC7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Glenfield Hospital, Leicester</w:t>
            </w:r>
          </w:p>
        </w:tc>
      </w:tr>
      <w:tr w:rsidR="00A40A42" w14:paraId="6FEB593A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CBF2CFF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Freeman Hospital, Newcastle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D2E2FC3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Hammersmith Hospital, London</w:t>
            </w:r>
          </w:p>
        </w:tc>
      </w:tr>
      <w:tr w:rsidR="00A40A42" w14:paraId="3CFFBD44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2CAFCFC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Golden Jubilee National Hospital, Glasgow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0580D37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Harefield Hospital, London</w:t>
            </w:r>
          </w:p>
        </w:tc>
      </w:tr>
      <w:tr w:rsidR="00A40A42" w14:paraId="7A989AC7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A0C9BB7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Guy's Hospital, London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0BE964C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King's College Hospital, London</w:t>
            </w:r>
          </w:p>
        </w:tc>
      </w:tr>
      <w:tr w:rsidR="00A40A42" w14:paraId="5370E42E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B76B4D6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James Cook University Hospital, Middlesbrough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40448FD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Morriston Hospital, Swansea</w:t>
            </w:r>
          </w:p>
        </w:tc>
      </w:tr>
      <w:tr w:rsidR="00A40A42" w14:paraId="31B431DF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CEEA37C" w14:textId="0BFC893E" w:rsidR="00A40A42" w:rsidRDefault="00D25D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James’s University Hospital, Leeds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A029FAA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Northern General Hospital, Sheffield </w:t>
            </w:r>
          </w:p>
        </w:tc>
      </w:tr>
      <w:tr w:rsidR="00A40A42" w14:paraId="7CF63E64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EA0E2D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Liverpool Heart and Chest Hospital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62ED033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Oxford University Hospitals </w:t>
            </w:r>
          </w:p>
        </w:tc>
      </w:tr>
      <w:tr w:rsidR="00A40A42" w14:paraId="03C6A549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DC48AED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Cross Hospital, Wolverhampton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8125EAB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Queen Elizabeth Hospital, Birmingham</w:t>
            </w:r>
          </w:p>
        </w:tc>
      </w:tr>
      <w:tr w:rsidR="00A40A42" w14:paraId="5FF2C9CD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6BF88DB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Norfolk and Norwich University Hospital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2CF22143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Brompton Hospital, London</w:t>
            </w:r>
          </w:p>
        </w:tc>
      </w:tr>
      <w:tr w:rsidR="00A40A42" w14:paraId="31BFD23D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349BBD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Nottingham University Hospitals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7D47421A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Infirmary of Edinburgh</w:t>
            </w:r>
          </w:p>
        </w:tc>
      </w:tr>
      <w:tr w:rsidR="00A40A42" w14:paraId="39EBA08E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6F13A84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Southampton General Hospital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F5E90F4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Papworth Hospital, Cambridge</w:t>
            </w:r>
          </w:p>
        </w:tc>
      </w:tr>
      <w:tr w:rsidR="00A40A42" w14:paraId="23B491D9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F7B3F1B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Bartholomew's Hospital, London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630A847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Royal Victoria Hospital, Belfast</w:t>
            </w:r>
          </w:p>
        </w:tc>
      </w:tr>
      <w:tr w:rsidR="00A40A42" w14:paraId="673778D0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14BF471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George's Hospital, London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39ED7F3F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of Wales, Cardiff</w:t>
            </w:r>
          </w:p>
        </w:tc>
      </w:tr>
      <w:tr w:rsidR="00A40A42" w14:paraId="38680E3E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22B71A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James's Hospital, Dublin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0CD73DBC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Coventry and Warwickshire</w:t>
            </w:r>
          </w:p>
        </w:tc>
      </w:tr>
      <w:tr w:rsidR="00A40A42" w14:paraId="2B04F645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AF73C2A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Mater Hospital, Dublin 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49CBD05A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Galway University Hospital</w:t>
            </w:r>
          </w:p>
        </w:tc>
      </w:tr>
      <w:tr w:rsidR="00A40A42" w14:paraId="24E58EEF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8688C48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College London Hospital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5DDA907A" w14:textId="4B13096B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University Hospital North Midlands, Stoke-</w:t>
            </w:r>
            <w:r w:rsidR="00135461">
              <w:rPr>
                <w:rFonts w:ascii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n-Trent</w:t>
            </w:r>
          </w:p>
        </w:tc>
      </w:tr>
      <w:tr w:rsidR="00A40A42" w14:paraId="461BCC43" w14:textId="77777777" w:rsidTr="00A40A42">
        <w:trPr>
          <w:trHeight w:val="3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5A92EE8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6794A15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Victoria Hospital, Blackpool</w:t>
            </w:r>
          </w:p>
        </w:tc>
      </w:tr>
      <w:tr w:rsidR="00A40A42" w14:paraId="4D69B98F" w14:textId="77777777" w:rsidTr="00A40A42">
        <w:trPr>
          <w:trHeight w:val="34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3780EDE" w14:textId="77777777" w:rsidR="00A40A42" w:rsidRDefault="00A40A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14:paraId="1FDF1D0A" w14:textId="77777777" w:rsidR="00A40A42" w:rsidRDefault="00A40A42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Wythenshawe Hospital, Manchester</w:t>
            </w:r>
          </w:p>
        </w:tc>
      </w:tr>
    </w:tbl>
    <w:p w14:paraId="21F8B3E3" w14:textId="63FB5219" w:rsidR="00D740E1" w:rsidRDefault="00D740E1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B896ADD" w14:textId="21D57BB3" w:rsidR="00A40A42" w:rsidRDefault="00A40A42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1000205D" w14:textId="1134032B" w:rsidR="00D740E1" w:rsidRPr="005A454E" w:rsidRDefault="00D740E1" w:rsidP="00D740E1">
      <w:pPr>
        <w:rPr>
          <w:rFonts w:ascii="Arial" w:hAnsi="Arial" w:cs="Arial"/>
          <w:color w:val="000000" w:themeColor="text1"/>
          <w:sz w:val="20"/>
          <w:szCs w:val="20"/>
        </w:rPr>
      </w:pPr>
      <w:r w:rsidRPr="005A454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Figure </w:t>
      </w:r>
      <w:r w:rsidR="002B5DBF"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="0058589F">
        <w:rPr>
          <w:rFonts w:ascii="Arial" w:hAnsi="Arial" w:cs="Arial"/>
          <w:b/>
          <w:bCs/>
          <w:color w:val="000000" w:themeColor="text1"/>
          <w:sz w:val="20"/>
          <w:szCs w:val="20"/>
        </w:rPr>
        <w:t>.2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 xml:space="preserve"> In total, 18 units have started (47%) and 20 units have not started (53%) a robotic programme (</w:t>
      </w:r>
      <w:r w:rsidR="00D412BC">
        <w:rPr>
          <w:rFonts w:ascii="Arial" w:hAnsi="Arial" w:cs="Arial"/>
          <w:i/>
          <w:iCs/>
          <w:color w:val="000000" w:themeColor="text1"/>
          <w:sz w:val="20"/>
          <w:szCs w:val="20"/>
        </w:rPr>
        <w:t>n</w:t>
      </w:r>
      <w:r w:rsidRPr="005A454E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= </w:t>
      </w:r>
      <w:r w:rsidRPr="005A454E">
        <w:rPr>
          <w:rFonts w:ascii="Arial" w:hAnsi="Arial" w:cs="Arial"/>
          <w:color w:val="000000" w:themeColor="text1"/>
          <w:sz w:val="20"/>
          <w:szCs w:val="20"/>
        </w:rPr>
        <w:t>38)</w:t>
      </w:r>
      <w:r w:rsidR="009D149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0F56943" w14:textId="77777777" w:rsidR="00D740E1" w:rsidRDefault="00D740E1" w:rsidP="00A40A42">
      <w:pPr>
        <w:rPr>
          <w:rFonts w:ascii="Arial" w:hAnsi="Arial" w:cs="Arial"/>
          <w:color w:val="000000"/>
          <w:sz w:val="20"/>
          <w:szCs w:val="20"/>
        </w:rPr>
      </w:pPr>
    </w:p>
    <w:p w14:paraId="71D3FDDD" w14:textId="77777777" w:rsidR="00D740E1" w:rsidRDefault="00BD58A2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D58A2"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3ECD0F48" wp14:editId="5BD01964">
            <wp:extent cx="2400300" cy="21251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4365" cy="212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EEE9" w14:textId="680C9FB8" w:rsidR="00D740E1" w:rsidRDefault="00D740E1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A454E">
        <w:rPr>
          <w:rFonts w:ascii="Arial" w:hAnsi="Arial" w:cs="Arial"/>
          <w:b/>
          <w:bCs/>
          <w:color w:val="000000"/>
          <w:sz w:val="20"/>
          <w:szCs w:val="20"/>
        </w:rPr>
        <w:t xml:space="preserve">Figure </w:t>
      </w:r>
      <w:r w:rsidR="002B5DBF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8589F">
        <w:rPr>
          <w:rFonts w:ascii="Arial" w:hAnsi="Arial" w:cs="Arial"/>
          <w:b/>
          <w:bCs/>
          <w:color w:val="000000"/>
          <w:sz w:val="20"/>
          <w:szCs w:val="20"/>
        </w:rPr>
        <w:t>.3</w:t>
      </w:r>
      <w:r w:rsidRPr="005A454E">
        <w:rPr>
          <w:rFonts w:ascii="Arial" w:hAnsi="Arial" w:cs="Arial"/>
          <w:b/>
          <w:bCs/>
          <w:color w:val="000000"/>
          <w:sz w:val="20"/>
          <w:szCs w:val="20"/>
        </w:rPr>
        <w:t xml:space="preserve"> / Table </w:t>
      </w:r>
      <w:r w:rsidR="002B5DBF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58589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FD335C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Robotic System proposed or in use</w:t>
      </w:r>
    </w:p>
    <w:p w14:paraId="73E04293" w14:textId="77777777" w:rsidR="00D740E1" w:rsidRDefault="00D740E1" w:rsidP="00D740E1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507" w:type="dxa"/>
        <w:tblLook w:val="04A0" w:firstRow="1" w:lastRow="0" w:firstColumn="1" w:lastColumn="0" w:noHBand="0" w:noVBand="1"/>
      </w:tblPr>
      <w:tblGrid>
        <w:gridCol w:w="4538"/>
        <w:gridCol w:w="4969"/>
      </w:tblGrid>
      <w:tr w:rsidR="00D740E1" w14:paraId="1DEE5FC2" w14:textId="77777777" w:rsidTr="00A57713">
        <w:trPr>
          <w:trHeight w:val="25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6EAD3" w14:textId="77777777" w:rsidR="00D740E1" w:rsidRDefault="00D740E1" w:rsidP="00A57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Thoracic Surgery Unit</w:t>
            </w:r>
          </w:p>
        </w:tc>
        <w:tc>
          <w:tcPr>
            <w:tcW w:w="4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05E" w14:textId="77777777" w:rsidR="00D740E1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the robotic system proposed or in use?</w:t>
            </w:r>
          </w:p>
        </w:tc>
      </w:tr>
      <w:tr w:rsidR="00D740E1" w14:paraId="0C046369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67D2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Morriston Hospital, Swansea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509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294A5C5A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5BE8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Southampton General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A5EE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50785A95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A7B6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George's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C1BD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666A1954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E7B0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Galway University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172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14558F7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055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North Midlands, Stoke-On-Trent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72D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CC05492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B760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Wythenshawe Hospital, Manchester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7D4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AC391E0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35BD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Cross Hospital, Wolverhampton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5F30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59FA84B8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0541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Guy's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85E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3F4CA4BE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95F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Norfolk and Norwich University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5C3F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3D30ECA5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EE47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Nottingham University Hospitals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127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75422B8A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49DD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Derriford Hospital, Plymouth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78B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4F97EB6C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4A7E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College London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72E7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60DE9E8B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7078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James's Hospital, Dublin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417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4054881E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32AE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Mater Hospital, Dublin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489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01EAC9BC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367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Golden Jubilee National Hospital, Glasgow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B5A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3EB2C1A2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E333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Aberdeen Royal Infirmary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F452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497AD986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4781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Liverpool Heart and Chest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1008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9A44A9D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C2A0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Bristol Royal Infirmary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88B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62EC8041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32C4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Infirmary of Edinburgh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58D9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6B440146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2E88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Brompton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6FC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59785A94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CF52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of Wales, Cardiff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E0E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439CDE1C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C225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James Cook University Hospital, Middlesbrough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23C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306AD2E0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AAD1" w14:textId="518E9C16" w:rsidR="00D740E1" w:rsidRDefault="00D25DE8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James’s University Hospital, Leeds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B2C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137E910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A03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Freeman Hospital, Newcastle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85F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B5940D4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CABA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University Hospital Coventry and Warwickshire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916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649D9FC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C4B4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Bartholomew's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65E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Intuitive</w:t>
            </w:r>
          </w:p>
        </w:tc>
      </w:tr>
      <w:tr w:rsidR="00D740E1" w14:paraId="1A7BE368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571D" w14:textId="77777777" w:rsidR="00D740E1" w:rsidRPr="00F225CD" w:rsidRDefault="00D740E1" w:rsidP="00A577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25CD">
              <w:rPr>
                <w:rFonts w:ascii="Arial" w:hAnsi="Arial" w:cs="Arial"/>
                <w:color w:val="000000" w:themeColor="text1"/>
                <w:sz w:val="18"/>
                <w:szCs w:val="18"/>
              </w:rPr>
              <w:t>Castle Hill Hospital, Hull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0B6" w14:textId="77777777" w:rsidR="00D740E1" w:rsidRPr="00F225CD" w:rsidRDefault="00D740E1" w:rsidP="00A5771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25CD">
              <w:rPr>
                <w:rFonts w:ascii="Arial" w:hAnsi="Arial" w:cs="Arial"/>
                <w:color w:val="000000" w:themeColor="text1"/>
                <w:sz w:val="18"/>
                <w:szCs w:val="18"/>
              </w:rPr>
              <w:t>Intuitive</w:t>
            </w:r>
          </w:p>
        </w:tc>
      </w:tr>
      <w:tr w:rsidR="00D740E1" w14:paraId="4C356CB6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C5BB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Basildon University Hospital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C35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1BE67E47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6BB1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Harefield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C84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3F59E540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39F7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Oxford University Hospitals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036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39939BB3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937A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Victoria Hospital, Belfast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E40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273ED84E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02AF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Glenfield Hospital, Leicester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98E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54EE4237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F942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Hammersmith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3968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21C9BE95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680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King's College Hospital, London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344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2941CE99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1CAA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Queen Elizabeth Hospital, Birmingham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AFC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0217E9B3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9062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Royal Papworth Hospital, Cambridge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68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78E90929" w14:textId="77777777" w:rsidTr="00A57713">
        <w:trPr>
          <w:trHeight w:val="92"/>
        </w:trPr>
        <w:tc>
          <w:tcPr>
            <w:tcW w:w="4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2B80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Northern General Hospital, Sheffield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C589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  <w:tr w:rsidR="00D740E1" w14:paraId="5795058D" w14:textId="77777777" w:rsidTr="00A57713">
        <w:trPr>
          <w:trHeight w:val="257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1556B" w14:textId="77777777" w:rsidR="00D740E1" w:rsidRDefault="00D740E1" w:rsidP="00A577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Victoria Hospital, Blackpool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685" w14:textId="77777777" w:rsidR="00D740E1" w:rsidRDefault="00D740E1" w:rsidP="00A577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</w:tr>
    </w:tbl>
    <w:p w14:paraId="0B02C82B" w14:textId="51DB2ABC" w:rsidR="00D740E1" w:rsidRPr="005A454E" w:rsidRDefault="00434313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_Hlk119603361"/>
      <w:r w:rsidRPr="00434313">
        <w:rPr>
          <w:rFonts w:ascii="Arial" w:hAnsi="Arial" w:cs="Arial"/>
          <w:b/>
          <w:bCs/>
          <w:noProof/>
          <w:color w:val="FFFFFF" w:themeColor="background1"/>
          <w:sz w:val="44"/>
          <w:szCs w:val="44"/>
        </w:rPr>
        <w:lastRenderedPageBreak/>
        <w:drawing>
          <wp:anchor distT="0" distB="0" distL="114300" distR="114300" simplePos="0" relativeHeight="251673607" behindDoc="0" locked="0" layoutInCell="1" allowOverlap="1" wp14:anchorId="60035253" wp14:editId="76621B1F">
            <wp:simplePos x="0" y="0"/>
            <wp:positionH relativeFrom="column">
              <wp:posOffset>1382233</wp:posOffset>
            </wp:positionH>
            <wp:positionV relativeFrom="paragraph">
              <wp:posOffset>-116959</wp:posOffset>
            </wp:positionV>
            <wp:extent cx="499730" cy="683428"/>
            <wp:effectExtent l="0" t="0" r="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30" cy="68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5D5A6E">
        <w:rPr>
          <w:rFonts w:ascii="Arial" w:hAnsi="Arial" w:cs="Arial"/>
          <w:b/>
          <w:bCs/>
          <w:noProof/>
          <w:color w:val="C45911" w:themeColor="accent2" w:themeShade="BF"/>
          <w:sz w:val="28"/>
          <w:szCs w:val="28"/>
        </w:rPr>
        <w:drawing>
          <wp:anchor distT="0" distB="0" distL="114300" distR="114300" simplePos="0" relativeHeight="251658244" behindDoc="1" locked="0" layoutInCell="1" allowOverlap="1" wp14:anchorId="596B022B" wp14:editId="793F1A96">
            <wp:simplePos x="0" y="0"/>
            <wp:positionH relativeFrom="column">
              <wp:posOffset>-6030595</wp:posOffset>
            </wp:positionH>
            <wp:positionV relativeFrom="paragraph">
              <wp:posOffset>-911225</wp:posOffset>
            </wp:positionV>
            <wp:extent cx="7684230" cy="10886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230" cy="108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0E1"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Section </w:t>
      </w:r>
      <w:r w:rsidR="00136CA2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6</w:t>
      </w:r>
      <w:r w:rsidR="00D740E1" w:rsidRPr="007138E8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>: Lung volume reduction</w:t>
      </w:r>
    </w:p>
    <w:p w14:paraId="04C5DA37" w14:textId="328DB3B9" w:rsidR="00D740E1" w:rsidRPr="00211A80" w:rsidRDefault="00D740E1" w:rsidP="00D740E1">
      <w:pPr>
        <w:spacing w:line="360" w:lineRule="auto"/>
        <w:ind w:right="-330"/>
        <w:jc w:val="right"/>
        <w:rPr>
          <w:rFonts w:ascii="Arial" w:hAnsi="Arial" w:cs="Arial"/>
          <w:b/>
          <w:bCs/>
          <w:color w:val="C45911" w:themeColor="accent2" w:themeShade="BF"/>
        </w:rPr>
      </w:pPr>
      <w:r w:rsidRPr="00211A80">
        <w:rPr>
          <w:rFonts w:ascii="Arial" w:hAnsi="Arial" w:cs="Arial"/>
          <w:b/>
          <w:bCs/>
        </w:rPr>
        <w:t>Lung volume reduction</w:t>
      </w:r>
      <w:r w:rsidR="00AD63E7" w:rsidRPr="00211A80">
        <w:rPr>
          <w:rFonts w:ascii="Arial" w:hAnsi="Arial" w:cs="Arial"/>
          <w:b/>
          <w:bCs/>
        </w:rPr>
        <w:t>:</w:t>
      </w:r>
      <w:r w:rsidRPr="00211A80">
        <w:rPr>
          <w:rFonts w:ascii="Arial" w:hAnsi="Arial" w:cs="Arial"/>
          <w:b/>
          <w:bCs/>
        </w:rPr>
        <w:t xml:space="preserve"> </w:t>
      </w:r>
      <w:r w:rsidR="006B69BC" w:rsidRPr="00211A80">
        <w:rPr>
          <w:rFonts w:ascii="Arial" w:hAnsi="Arial" w:cs="Arial"/>
          <w:b/>
          <w:bCs/>
        </w:rPr>
        <w:t>MDT, Valves</w:t>
      </w:r>
      <w:r w:rsidR="00AD63E7" w:rsidRPr="00211A80">
        <w:rPr>
          <w:rFonts w:ascii="Arial" w:hAnsi="Arial" w:cs="Arial"/>
          <w:b/>
          <w:bCs/>
        </w:rPr>
        <w:t>,</w:t>
      </w:r>
      <w:r w:rsidR="006B69BC" w:rsidRPr="00211A80">
        <w:rPr>
          <w:rFonts w:ascii="Arial" w:hAnsi="Arial" w:cs="Arial"/>
          <w:b/>
          <w:bCs/>
        </w:rPr>
        <w:t xml:space="preserve"> Surgery</w:t>
      </w:r>
    </w:p>
    <w:p w14:paraId="3551131F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02576D5F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6F0B9892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2AE908B0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48FF04DB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7A6A12E2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52635353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47806E4B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2514169A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0EB3E63E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26949943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2DC876C8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7E81AF85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50376B7D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79238315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6268B350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65B3F979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447688FF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12728A03" w14:textId="77777777" w:rsidR="00D740E1" w:rsidRDefault="00D740E1" w:rsidP="00D740E1">
      <w:pPr>
        <w:rPr>
          <w:rFonts w:ascii="Arial" w:hAnsi="Arial" w:cs="Arial"/>
          <w:b/>
          <w:bCs/>
          <w:sz w:val="20"/>
          <w:szCs w:val="20"/>
        </w:rPr>
      </w:pPr>
    </w:p>
    <w:p w14:paraId="4F2553BB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0A011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D8356F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869CA6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343E10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3D904D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D5C56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0385D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1327F7F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51DE51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CA7F3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7F9795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E6FBDB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58DA67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BF4CB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EF54F7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9B2F98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7DA5FA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550D6F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F13C35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9F91C6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A82E9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0F887B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F3B0D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D355D5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90BBA6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7B9F07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90B39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45D4B0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FD261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AB75D4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D443D3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3AA828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51CA58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CC5435" w14:textId="507486AF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E5D8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Table </w:t>
      </w:r>
      <w:r w:rsidR="002B5DB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58589F">
        <w:rPr>
          <w:rFonts w:ascii="Arial" w:hAnsi="Arial" w:cs="Arial"/>
          <w:b/>
          <w:bCs/>
          <w:color w:val="000000"/>
          <w:sz w:val="22"/>
          <w:szCs w:val="22"/>
        </w:rPr>
        <w:t>.1</w:t>
      </w:r>
      <w:r w:rsidRPr="005E5D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E5D87">
        <w:rPr>
          <w:rFonts w:ascii="Arial" w:hAnsi="Arial" w:cs="Arial"/>
          <w:color w:val="000000"/>
          <w:sz w:val="22"/>
          <w:szCs w:val="22"/>
        </w:rPr>
        <w:t>Lung Volume Reduction</w:t>
      </w:r>
      <w:r w:rsidRPr="005E5D8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2268"/>
      </w:tblGrid>
      <w:tr w:rsidR="00D740E1" w14:paraId="48A853FC" w14:textId="77777777" w:rsidTr="008036D6">
        <w:trPr>
          <w:trHeight w:val="4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8C73E9C" w14:textId="77777777" w:rsidR="00D740E1" w:rsidRDefault="00D740E1" w:rsidP="00A57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 of Thoracic Surgery Unit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B9B9D7" w14:textId="77777777" w:rsidR="00D740E1" w:rsidRDefault="00D740E1" w:rsidP="00A57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unit participate in a LVR MDT?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1B5EC5" w14:textId="77777777" w:rsidR="00D740E1" w:rsidRDefault="00D740E1" w:rsidP="00A57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unit perform LVR by valves?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9A89" w14:textId="77777777" w:rsidR="00D740E1" w:rsidRDefault="00D740E1" w:rsidP="00A577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Does your unit perform LVR by surgery?</w:t>
            </w:r>
          </w:p>
        </w:tc>
      </w:tr>
      <w:tr w:rsidR="00D740E1" w14:paraId="752C0EBD" w14:textId="77777777" w:rsidTr="00054B39">
        <w:trPr>
          <w:trHeight w:val="28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8B2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Aberdeen Royal Infirmary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3C7C6FD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0CDA4ED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49A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3CAC0B2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3A9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Basildon University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101C3C8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264BFC56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468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46B063F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5F14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Bristol Royal Infirmary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6A3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B12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08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49428BAD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71D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Castle Hill Hospital, Hull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307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3C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80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C113B8D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367B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 xml:space="preserve">Derriford Hospital, Plymouth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CD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7F553C4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D01"/>
            <w:noWrap/>
            <w:vAlign w:val="bottom"/>
            <w:hideMark/>
          </w:tcPr>
          <w:p w14:paraId="03F57EE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D740E1" w14:paraId="4AECFA03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8ACE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 xml:space="preserve">Freeman Hospital, Newcastle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0F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1C6E65A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68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3EE5916A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BF0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Glenfield Hospital, Leicester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74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01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C8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19BCE99B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618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Golden Jubilee National Hospital, Glasgow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E3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AAD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4E3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2A5E03C0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8D50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Guy's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2422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FB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29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4A8B20EE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11E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Hammersmith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0F11B9F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3618327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D01"/>
            <w:noWrap/>
            <w:vAlign w:val="bottom"/>
            <w:hideMark/>
          </w:tcPr>
          <w:p w14:paraId="5955C59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D740E1" w14:paraId="4ABA82A0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ED4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Harefield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9916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B45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3A4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3A2E7792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81E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James Cook University Hospital, Middlesbrough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587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9B5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99C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3BE8133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E3F9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King's College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610F895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2C13DBAB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D01"/>
            <w:noWrap/>
            <w:vAlign w:val="bottom"/>
            <w:hideMark/>
          </w:tcPr>
          <w:p w14:paraId="10DEF08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D740E1" w14:paraId="7C4415EA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5BAA" w14:textId="3A43B538" w:rsidR="00D740E1" w:rsidRPr="008036D6" w:rsidRDefault="00D25DE8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 James’s University Hospital, Leeds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64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73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54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104F93E2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EA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Liverpool Heart and Chest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532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18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58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C1EBC8E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112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Morriston Hospital, Swansea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2343ED0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7FE8A936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D01"/>
            <w:noWrap/>
            <w:vAlign w:val="bottom"/>
            <w:hideMark/>
          </w:tcPr>
          <w:p w14:paraId="1BB0790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D740E1" w14:paraId="717190E0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7F56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New Cross Hospital, Wolverhampton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C15C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C5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73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0A9FB0BA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58E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Norfolk and Norwich University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CE2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1AD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818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072B8617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9362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 xml:space="preserve">Northern General Hospital, Sheffield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8D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797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770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84916FD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076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 xml:space="preserve">Nottingham University Hospitals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09E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830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ADA3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6BC74A49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A69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Oxford University Hospitals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011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35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507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F1F68A6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6EC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Queen Elizabeth Hospital, Birmingham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64DB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1FB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623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3F508A24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3A2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Royal Brompton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D7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1D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C9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A9459C4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F62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Royal Infirmary of Edinburgh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01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F94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F53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9C9671E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382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Royal Papworth Hospital, Cambridge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4D1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E3B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93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3978FBDC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190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Royal Victoria Hospital, Belfast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112B07D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3AD965C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6F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7B874F02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BBD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Southampton General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32C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66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79C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0C274882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F4C5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St Bartholomew's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28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52C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50D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6B565ECA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49F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St George's Hospital, London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5F0B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32CA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AB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4B3EABB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59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St. James's Hospital, Dublin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11693597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0C398C5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D01"/>
            <w:noWrap/>
            <w:vAlign w:val="bottom"/>
            <w:hideMark/>
          </w:tcPr>
          <w:p w14:paraId="16C9BF13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D740E1" w14:paraId="37EB5959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5EE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 xml:space="preserve">The Mater Hospital, Dublin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77C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3E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B2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56FB7E8C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82EC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University College London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7E8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FB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F6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6EAC44A3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B78D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University Hospital of Wales, Cardiff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44E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6A53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74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25A379A0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37B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University Hospital Coventry and Warwickshire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53422FAC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2D2BB918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ED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4D59EA39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B3D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Galway University Hospital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7068ED5F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8CB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59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28ECC96A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409" w14:textId="01627F4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University Hospital North Midlands, Stoke-</w:t>
            </w:r>
            <w:r w:rsidR="008036D6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n-Trent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4340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11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0D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3BD24C9D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FC7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Victoria Hospital, Blackpool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7B9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6D01"/>
            <w:noWrap/>
            <w:vAlign w:val="bottom"/>
            <w:hideMark/>
          </w:tcPr>
          <w:p w14:paraId="02BA610E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615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D740E1" w14:paraId="0C52156F" w14:textId="77777777" w:rsidTr="00054B39">
        <w:trPr>
          <w:trHeight w:val="2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A5F" w14:textId="77777777" w:rsidR="00D740E1" w:rsidRPr="008036D6" w:rsidRDefault="00D740E1" w:rsidP="00A57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Wythenshawe Hospital, Manchester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EEFD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4DC1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9E4" w14:textId="77777777" w:rsidR="00D740E1" w:rsidRPr="008036D6" w:rsidRDefault="00D740E1" w:rsidP="00A5771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6D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</w:tbl>
    <w:p w14:paraId="78C00379" w14:textId="77777777" w:rsidR="008036D6" w:rsidRDefault="008036D6" w:rsidP="00D740E1">
      <w:pPr>
        <w:rPr>
          <w:rFonts w:ascii="Arial" w:hAnsi="Arial" w:cs="Arial"/>
          <w:color w:val="000000"/>
          <w:sz w:val="20"/>
          <w:szCs w:val="20"/>
        </w:rPr>
      </w:pPr>
    </w:p>
    <w:p w14:paraId="0147C1F9" w14:textId="3B289D30" w:rsidR="008036D6" w:rsidRPr="002D19E4" w:rsidRDefault="008036D6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D19E4">
        <w:rPr>
          <w:rFonts w:ascii="Arial" w:hAnsi="Arial" w:cs="Arial"/>
          <w:b/>
          <w:bCs/>
          <w:color w:val="000000"/>
          <w:sz w:val="20"/>
          <w:szCs w:val="20"/>
        </w:rPr>
        <w:t xml:space="preserve">Lung Volume Reduction summary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4"/>
        <w:gridCol w:w="2254"/>
        <w:gridCol w:w="2717"/>
        <w:gridCol w:w="1791"/>
      </w:tblGrid>
      <w:tr w:rsidR="008036D6" w:rsidRPr="006E0626" w14:paraId="7C9845C7" w14:textId="77777777" w:rsidTr="008036D6">
        <w:tc>
          <w:tcPr>
            <w:tcW w:w="2254" w:type="dxa"/>
            <w:shd w:val="clear" w:color="auto" w:fill="FFFFFF" w:themeFill="background1"/>
          </w:tcPr>
          <w:p w14:paraId="005C0FBC" w14:textId="77777777" w:rsidR="008036D6" w:rsidRPr="008036D6" w:rsidRDefault="008036D6" w:rsidP="004D4A9B">
            <w:pPr>
              <w:spacing w:line="360" w:lineRule="auto"/>
              <w:ind w:right="-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6D6">
              <w:rPr>
                <w:rFonts w:ascii="Arial" w:hAnsi="Arial" w:cs="Arial"/>
                <w:b/>
                <w:bCs/>
                <w:sz w:val="18"/>
                <w:szCs w:val="18"/>
              </w:rPr>
              <w:t>No. of units (%)</w:t>
            </w:r>
          </w:p>
        </w:tc>
        <w:tc>
          <w:tcPr>
            <w:tcW w:w="2254" w:type="dxa"/>
            <w:shd w:val="clear" w:color="auto" w:fill="FFFFFF" w:themeFill="background1"/>
          </w:tcPr>
          <w:p w14:paraId="66D43CF7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6D6">
              <w:rPr>
                <w:rFonts w:ascii="Arial" w:hAnsi="Arial" w:cs="Arial"/>
                <w:b/>
                <w:bCs/>
                <w:sz w:val="18"/>
                <w:szCs w:val="18"/>
              </w:rPr>
              <w:t>LVR MDT</w:t>
            </w:r>
          </w:p>
        </w:tc>
        <w:tc>
          <w:tcPr>
            <w:tcW w:w="2717" w:type="dxa"/>
            <w:shd w:val="clear" w:color="auto" w:fill="FFFFFF" w:themeFill="background1"/>
          </w:tcPr>
          <w:p w14:paraId="7733CD3C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6D6">
              <w:rPr>
                <w:rFonts w:ascii="Arial" w:hAnsi="Arial" w:cs="Arial"/>
                <w:b/>
                <w:bCs/>
                <w:sz w:val="18"/>
                <w:szCs w:val="18"/>
              </w:rPr>
              <w:t>Endobronchial valves</w:t>
            </w:r>
          </w:p>
        </w:tc>
        <w:tc>
          <w:tcPr>
            <w:tcW w:w="1791" w:type="dxa"/>
            <w:shd w:val="clear" w:color="auto" w:fill="FFFFFF" w:themeFill="background1"/>
          </w:tcPr>
          <w:p w14:paraId="1955688A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6D6">
              <w:rPr>
                <w:rFonts w:ascii="Arial" w:hAnsi="Arial" w:cs="Arial"/>
                <w:b/>
                <w:bCs/>
                <w:sz w:val="18"/>
                <w:szCs w:val="18"/>
              </w:rPr>
              <w:t>LVR surgery</w:t>
            </w:r>
          </w:p>
        </w:tc>
      </w:tr>
      <w:tr w:rsidR="008036D6" w:rsidRPr="006E0626" w14:paraId="23E2598C" w14:textId="77777777" w:rsidTr="008036D6">
        <w:trPr>
          <w:trHeight w:val="69"/>
        </w:trPr>
        <w:tc>
          <w:tcPr>
            <w:tcW w:w="2254" w:type="dxa"/>
            <w:shd w:val="clear" w:color="auto" w:fill="FFFFFF" w:themeFill="background1"/>
          </w:tcPr>
          <w:p w14:paraId="78B9E6B7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26 (68.5)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0ED4EB67" w14:textId="02EC06AE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195777B5" w14:textId="3339A34C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  <w:tc>
          <w:tcPr>
            <w:tcW w:w="1791" w:type="dxa"/>
            <w:shd w:val="clear" w:color="auto" w:fill="FFFFFF" w:themeFill="background1"/>
          </w:tcPr>
          <w:p w14:paraId="4B981174" w14:textId="520B8EA1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</w:tr>
      <w:tr w:rsidR="008036D6" w:rsidRPr="006E0626" w14:paraId="2E5FA2A6" w14:textId="77777777" w:rsidTr="008036D6">
        <w:tc>
          <w:tcPr>
            <w:tcW w:w="2254" w:type="dxa"/>
            <w:shd w:val="clear" w:color="auto" w:fill="FFFFFF" w:themeFill="background1"/>
          </w:tcPr>
          <w:p w14:paraId="3D92117F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1 (2.5)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27B61379" w14:textId="359F1DD6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0F15D6BC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53DBB29A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036D6" w:rsidRPr="006E0626" w14:paraId="34DFDB64" w14:textId="77777777" w:rsidTr="008036D6">
        <w:tc>
          <w:tcPr>
            <w:tcW w:w="2254" w:type="dxa"/>
            <w:shd w:val="clear" w:color="auto" w:fill="FFFFFF" w:themeFill="background1"/>
          </w:tcPr>
          <w:p w14:paraId="25EF98F1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2 (5.5)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73CB18D5" w14:textId="4BAAB6C8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  <w:tc>
          <w:tcPr>
            <w:tcW w:w="2717" w:type="dxa"/>
            <w:shd w:val="clear" w:color="auto" w:fill="FFFFFF" w:themeFill="background1"/>
          </w:tcPr>
          <w:p w14:paraId="5184A7ED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692B155F" w14:textId="1F67A9AA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</w:tr>
      <w:tr w:rsidR="008036D6" w:rsidRPr="006E0626" w14:paraId="1C6E8153" w14:textId="77777777" w:rsidTr="008036D6">
        <w:tc>
          <w:tcPr>
            <w:tcW w:w="2254" w:type="dxa"/>
            <w:shd w:val="clear" w:color="auto" w:fill="FFFFFF" w:themeFill="background1"/>
          </w:tcPr>
          <w:p w14:paraId="0AF06B2A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1 (2.5)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444BE9F2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2F5AD1E4" w14:textId="43A79FC1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  <w:tc>
          <w:tcPr>
            <w:tcW w:w="1791" w:type="dxa"/>
            <w:shd w:val="clear" w:color="auto" w:fill="FFFFFF" w:themeFill="background1"/>
          </w:tcPr>
          <w:p w14:paraId="4A32DDA9" w14:textId="75F761F8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</w:tr>
      <w:tr w:rsidR="008036D6" w:rsidRPr="006E0626" w14:paraId="425A28B4" w14:textId="77777777" w:rsidTr="008036D6">
        <w:tc>
          <w:tcPr>
            <w:tcW w:w="2254" w:type="dxa"/>
            <w:shd w:val="clear" w:color="auto" w:fill="FFFFFF" w:themeFill="background1"/>
          </w:tcPr>
          <w:p w14:paraId="56641A54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4 (10.5)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5952E5CD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5C46C8C8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22917C4C" w14:textId="42960E66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036D6">
              <w:rPr>
                <w:rFonts w:ascii="Segoe UI Symbol" w:hAnsi="Segoe UI Symbol" w:cs="Segoe UI Symbol"/>
                <w:b/>
                <w:bCs/>
                <w:color w:val="202124"/>
                <w:sz w:val="15"/>
                <w:szCs w:val="15"/>
                <w:shd w:val="clear" w:color="auto" w:fill="FFFFFF"/>
              </w:rPr>
              <w:t>✓</w:t>
            </w:r>
          </w:p>
        </w:tc>
      </w:tr>
      <w:tr w:rsidR="008036D6" w14:paraId="217C3282" w14:textId="77777777" w:rsidTr="008036D6">
        <w:tc>
          <w:tcPr>
            <w:tcW w:w="2254" w:type="dxa"/>
            <w:shd w:val="clear" w:color="auto" w:fill="FFFFFF" w:themeFill="background1"/>
          </w:tcPr>
          <w:p w14:paraId="17D86AF8" w14:textId="77777777" w:rsidR="008036D6" w:rsidRPr="00FA0505" w:rsidRDefault="008036D6" w:rsidP="004D4A9B">
            <w:pPr>
              <w:spacing w:line="360" w:lineRule="auto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FA0505">
              <w:rPr>
                <w:rFonts w:ascii="Arial" w:hAnsi="Arial" w:cs="Arial"/>
                <w:sz w:val="18"/>
                <w:szCs w:val="18"/>
              </w:rPr>
              <w:t>4 (10.5)</w:t>
            </w:r>
          </w:p>
        </w:tc>
        <w:tc>
          <w:tcPr>
            <w:tcW w:w="2254" w:type="dxa"/>
            <w:shd w:val="clear" w:color="auto" w:fill="FFFFFF" w:themeFill="background1"/>
          </w:tcPr>
          <w:p w14:paraId="648C5CF2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17" w:type="dxa"/>
            <w:shd w:val="clear" w:color="auto" w:fill="FFFFFF" w:themeFill="background1"/>
          </w:tcPr>
          <w:p w14:paraId="77D69A3C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791" w:type="dxa"/>
            <w:shd w:val="clear" w:color="auto" w:fill="FFFFFF" w:themeFill="background1"/>
          </w:tcPr>
          <w:p w14:paraId="7EE7E654" w14:textId="77777777" w:rsidR="008036D6" w:rsidRPr="008036D6" w:rsidRDefault="008036D6" w:rsidP="004D4A9B">
            <w:pPr>
              <w:spacing w:line="360" w:lineRule="auto"/>
              <w:ind w:right="-33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14:paraId="6859849F" w14:textId="776F47ED" w:rsidR="00D740E1" w:rsidRPr="008036D6" w:rsidRDefault="00AB67A8" w:rsidP="00D740E1">
      <w:p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br w:type="page"/>
      </w:r>
      <w:bookmarkEnd w:id="1"/>
      <w:r w:rsidR="00D740E1" w:rsidRPr="007138E8">
        <w:rPr>
          <w:rFonts w:ascii="Arial" w:hAnsi="Arial" w:cs="Arial"/>
          <w:b/>
          <w:bCs/>
          <w:color w:val="2F5496" w:themeColor="accent1" w:themeShade="BF"/>
        </w:rPr>
        <w:lastRenderedPageBreak/>
        <w:t>Closing comments</w:t>
      </w:r>
    </w:p>
    <w:p w14:paraId="4D41C232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C3CA5C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370F39" w14:textId="77777777" w:rsidR="00D740E1" w:rsidRDefault="00D740E1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77D6B">
        <w:rPr>
          <w:rFonts w:ascii="Arial" w:hAnsi="Arial" w:cs="Arial"/>
          <w:b/>
          <w:bCs/>
          <w:color w:val="000000"/>
          <w:sz w:val="22"/>
          <w:szCs w:val="22"/>
        </w:rPr>
        <w:t>Survey Question: What would improve your professional life?</w:t>
      </w:r>
    </w:p>
    <w:p w14:paraId="234FFBD0" w14:textId="77777777" w:rsidR="003232E7" w:rsidRDefault="003232E7" w:rsidP="003232E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6FE8846" w14:textId="77777777" w:rsidR="00F66375" w:rsidRDefault="003232E7" w:rsidP="003232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word cloud generated the following map.</w:t>
      </w:r>
    </w:p>
    <w:p w14:paraId="78A89827" w14:textId="77777777" w:rsidR="00F66375" w:rsidRDefault="00F66375" w:rsidP="003232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141A08" w14:textId="55430B16" w:rsidR="00BC336F" w:rsidRDefault="00F66375" w:rsidP="003232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word cloud</w:t>
      </w:r>
      <w:r w:rsidR="003232E7">
        <w:rPr>
          <w:rFonts w:ascii="Arial" w:hAnsi="Arial" w:cs="Arial"/>
          <w:color w:val="000000"/>
          <w:sz w:val="22"/>
          <w:szCs w:val="22"/>
        </w:rPr>
        <w:t xml:space="preserve"> is a speculative tool which gives a visual impression of the issues raised by the respondents. We </w:t>
      </w:r>
      <w:r w:rsidR="00BC336F">
        <w:rPr>
          <w:rFonts w:ascii="Arial" w:hAnsi="Arial" w:cs="Arial"/>
          <w:color w:val="000000"/>
          <w:sz w:val="22"/>
          <w:szCs w:val="22"/>
        </w:rPr>
        <w:t>have removed meaningless term</w:t>
      </w:r>
      <w:r w:rsidR="00211A80">
        <w:rPr>
          <w:rFonts w:ascii="Arial" w:hAnsi="Arial" w:cs="Arial"/>
          <w:color w:val="000000"/>
          <w:sz w:val="22"/>
          <w:szCs w:val="22"/>
        </w:rPr>
        <w:t>s</w:t>
      </w:r>
      <w:r w:rsidR="00BC336F">
        <w:rPr>
          <w:rFonts w:ascii="Arial" w:hAnsi="Arial" w:cs="Arial"/>
          <w:color w:val="000000"/>
          <w:sz w:val="22"/>
          <w:szCs w:val="22"/>
        </w:rPr>
        <w:t xml:space="preserve"> but otherwise have</w:t>
      </w:r>
      <w:r w:rsidR="003232E7">
        <w:rPr>
          <w:rFonts w:ascii="Arial" w:hAnsi="Arial" w:cs="Arial"/>
          <w:color w:val="000000"/>
          <w:sz w:val="22"/>
          <w:szCs w:val="22"/>
        </w:rPr>
        <w:t xml:space="preserve"> used the </w:t>
      </w:r>
      <w:r w:rsidR="00BC336F">
        <w:rPr>
          <w:rFonts w:ascii="Arial" w:hAnsi="Arial" w:cs="Arial"/>
          <w:color w:val="000000"/>
          <w:sz w:val="22"/>
          <w:szCs w:val="22"/>
        </w:rPr>
        <w:t xml:space="preserve">actual </w:t>
      </w:r>
      <w:r w:rsidR="00211A80">
        <w:rPr>
          <w:rFonts w:ascii="Arial" w:hAnsi="Arial" w:cs="Arial"/>
          <w:color w:val="000000"/>
          <w:sz w:val="22"/>
          <w:szCs w:val="22"/>
        </w:rPr>
        <w:t xml:space="preserve">words </w:t>
      </w:r>
      <w:r w:rsidR="003232E7">
        <w:rPr>
          <w:rFonts w:ascii="Arial" w:hAnsi="Arial" w:cs="Arial"/>
          <w:color w:val="000000"/>
          <w:sz w:val="22"/>
          <w:szCs w:val="22"/>
        </w:rPr>
        <w:t xml:space="preserve">submitted. There is an overlap between the terms. </w:t>
      </w:r>
    </w:p>
    <w:p w14:paraId="58B795A4" w14:textId="77777777" w:rsidR="00BC336F" w:rsidRDefault="00BC336F" w:rsidP="003232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7C28F0" w14:textId="537A787F" w:rsidR="003232E7" w:rsidRDefault="00AD63E7" w:rsidP="003232E7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This serves</w:t>
      </w:r>
      <w:r w:rsidR="003232E7">
        <w:rPr>
          <w:rFonts w:ascii="Arial" w:hAnsi="Arial" w:cs="Arial"/>
          <w:color w:val="000000"/>
          <w:sz w:val="22"/>
          <w:szCs w:val="22"/>
        </w:rPr>
        <w:t xml:space="preserve"> to stimulate discussion on the future needs and aspirations of the professional community.</w:t>
      </w:r>
    </w:p>
    <w:p w14:paraId="0C3B58E1" w14:textId="77777777" w:rsidR="003232E7" w:rsidRDefault="003232E7" w:rsidP="003232E7"/>
    <w:p w14:paraId="5BCD7379" w14:textId="77777777" w:rsidR="003232E7" w:rsidRPr="00777D6B" w:rsidRDefault="003232E7" w:rsidP="00D740E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D3CA96" w14:textId="77777777" w:rsidR="00D740E1" w:rsidRPr="00B427D7" w:rsidRDefault="00D740E1" w:rsidP="00054B39">
      <w:pPr>
        <w:ind w:left="-142" w:right="-755"/>
        <w:rPr>
          <w:rFonts w:ascii="Arial" w:hAnsi="Arial" w:cs="Arial"/>
          <w:b/>
          <w:bCs/>
          <w:color w:val="000000"/>
          <w:sz w:val="20"/>
          <w:szCs w:val="20"/>
        </w:rPr>
      </w:pPr>
      <w:r w:rsidRPr="00AA5F2E">
        <w:rPr>
          <w:noProof/>
        </w:rPr>
        <w:drawing>
          <wp:inline distT="0" distB="0" distL="0" distR="0" wp14:anchorId="04EBED13" wp14:editId="0B9B050F">
            <wp:extent cx="6545356" cy="40862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45356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FD055" w14:textId="77777777" w:rsidR="00D740E1" w:rsidRDefault="00D740E1" w:rsidP="00D740E1">
      <w:pPr>
        <w:ind w:right="-46"/>
        <w:jc w:val="center"/>
        <w:rPr>
          <w:rFonts w:ascii="Arial" w:hAnsi="Arial" w:cs="Arial"/>
          <w:color w:val="000000"/>
          <w:sz w:val="20"/>
          <w:szCs w:val="20"/>
        </w:rPr>
      </w:pPr>
    </w:p>
    <w:p w14:paraId="3CB81FD3" w14:textId="77777777" w:rsidR="00D740E1" w:rsidRPr="00016685" w:rsidRDefault="00D740E1" w:rsidP="00D740E1">
      <w:pPr>
        <w:rPr>
          <w:rFonts w:ascii="Arial" w:hAnsi="Arial" w:cs="Arial"/>
          <w:color w:val="000000"/>
          <w:sz w:val="20"/>
          <w:szCs w:val="20"/>
        </w:rPr>
      </w:pPr>
    </w:p>
    <w:p w14:paraId="7EA9BE69" w14:textId="77777777" w:rsidR="00D740E1" w:rsidRDefault="00D740E1"/>
    <w:sectPr w:rsidR="00D740E1" w:rsidSect="00E548DF">
      <w:footerReference w:type="even" r:id="rId23"/>
      <w:footerReference w:type="default" r:id="rId24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66E7" w14:textId="77777777" w:rsidR="008B12CC" w:rsidRDefault="008B12CC">
      <w:r>
        <w:separator/>
      </w:r>
    </w:p>
  </w:endnote>
  <w:endnote w:type="continuationSeparator" w:id="0">
    <w:p w14:paraId="44AB0978" w14:textId="77777777" w:rsidR="008B12CC" w:rsidRDefault="008B12CC">
      <w:r>
        <w:continuationSeparator/>
      </w:r>
    </w:p>
  </w:endnote>
  <w:endnote w:type="continuationNotice" w:id="1">
    <w:p w14:paraId="7006242F" w14:textId="77777777" w:rsidR="008B12CC" w:rsidRDefault="008B1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005215"/>
      <w:docPartObj>
        <w:docPartGallery w:val="Page Numbers (Bottom of Page)"/>
        <w:docPartUnique/>
      </w:docPartObj>
    </w:sdtPr>
    <w:sdtContent>
      <w:p w14:paraId="1118DEE5" w14:textId="77777777" w:rsidR="00A57713" w:rsidRDefault="0067452B" w:rsidP="00A577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022BADD1" w14:textId="77777777" w:rsidR="00A57713" w:rsidRDefault="00A57713" w:rsidP="00A577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2116360614"/>
      <w:docPartObj>
        <w:docPartGallery w:val="Page Numbers (Bottom of Page)"/>
        <w:docPartUnique/>
      </w:docPartObj>
    </w:sdtPr>
    <w:sdtContent>
      <w:p w14:paraId="0B402B8D" w14:textId="77777777" w:rsidR="00A57713" w:rsidRPr="005E5D87" w:rsidRDefault="0067452B" w:rsidP="00A57713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5E5D87">
          <w:rPr>
            <w:rStyle w:val="PageNumber"/>
            <w:rFonts w:ascii="Arial" w:hAnsi="Arial" w:cs="Arial"/>
          </w:rPr>
          <w:fldChar w:fldCharType="begin"/>
        </w:r>
        <w:r w:rsidRPr="005E5D87">
          <w:rPr>
            <w:rStyle w:val="PageNumber"/>
            <w:rFonts w:ascii="Arial" w:hAnsi="Arial" w:cs="Arial"/>
          </w:rPr>
          <w:instrText xml:space="preserve"> PAGE </w:instrText>
        </w:r>
        <w:r w:rsidRPr="005E5D87">
          <w:rPr>
            <w:rStyle w:val="PageNumber"/>
            <w:rFonts w:ascii="Arial" w:hAnsi="Arial" w:cs="Arial"/>
          </w:rPr>
          <w:fldChar w:fldCharType="separate"/>
        </w:r>
        <w:r w:rsidRPr="005E5D87">
          <w:rPr>
            <w:rStyle w:val="PageNumber"/>
            <w:rFonts w:ascii="Arial" w:hAnsi="Arial" w:cs="Arial"/>
            <w:noProof/>
          </w:rPr>
          <w:t>1</w:t>
        </w:r>
        <w:r w:rsidRPr="005E5D87">
          <w:rPr>
            <w:rStyle w:val="PageNumber"/>
            <w:rFonts w:ascii="Arial" w:hAnsi="Arial" w:cs="Arial"/>
          </w:rPr>
          <w:fldChar w:fldCharType="end"/>
        </w:r>
      </w:p>
    </w:sdtContent>
  </w:sdt>
  <w:p w14:paraId="37D36876" w14:textId="77777777" w:rsidR="00A57713" w:rsidRDefault="00A57713" w:rsidP="00A577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6FDB" w14:textId="77777777" w:rsidR="008B12CC" w:rsidRDefault="008B12CC">
      <w:r>
        <w:separator/>
      </w:r>
    </w:p>
  </w:footnote>
  <w:footnote w:type="continuationSeparator" w:id="0">
    <w:p w14:paraId="311D8F66" w14:textId="77777777" w:rsidR="008B12CC" w:rsidRDefault="008B12CC">
      <w:r>
        <w:continuationSeparator/>
      </w:r>
    </w:p>
  </w:footnote>
  <w:footnote w:type="continuationNotice" w:id="1">
    <w:p w14:paraId="32E5DEC4" w14:textId="77777777" w:rsidR="008B12CC" w:rsidRDefault="008B1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10A"/>
    <w:multiLevelType w:val="hybridMultilevel"/>
    <w:tmpl w:val="46CC8A2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23071D"/>
    <w:multiLevelType w:val="hybridMultilevel"/>
    <w:tmpl w:val="482658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E6722"/>
    <w:multiLevelType w:val="hybridMultilevel"/>
    <w:tmpl w:val="89BC6A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02356D"/>
    <w:multiLevelType w:val="hybridMultilevel"/>
    <w:tmpl w:val="C4A0CF1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DC3A42"/>
    <w:multiLevelType w:val="hybridMultilevel"/>
    <w:tmpl w:val="2BC45E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EFA"/>
    <w:multiLevelType w:val="hybridMultilevel"/>
    <w:tmpl w:val="79CE6664"/>
    <w:lvl w:ilvl="0" w:tplc="B59CC7F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765BA"/>
    <w:multiLevelType w:val="hybridMultilevel"/>
    <w:tmpl w:val="A2CE20F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DD92FA2"/>
    <w:multiLevelType w:val="hybridMultilevel"/>
    <w:tmpl w:val="E060596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1642297">
    <w:abstractNumId w:val="5"/>
  </w:num>
  <w:num w:numId="2" w16cid:durableId="258176918">
    <w:abstractNumId w:val="4"/>
  </w:num>
  <w:num w:numId="3" w16cid:durableId="2052611589">
    <w:abstractNumId w:val="2"/>
  </w:num>
  <w:num w:numId="4" w16cid:durableId="662858019">
    <w:abstractNumId w:val="0"/>
  </w:num>
  <w:num w:numId="5" w16cid:durableId="238953428">
    <w:abstractNumId w:val="7"/>
  </w:num>
  <w:num w:numId="6" w16cid:durableId="931746107">
    <w:abstractNumId w:val="1"/>
  </w:num>
  <w:num w:numId="7" w16cid:durableId="1141383416">
    <w:abstractNumId w:val="3"/>
  </w:num>
  <w:num w:numId="8" w16cid:durableId="1047877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E1"/>
    <w:rsid w:val="000221FE"/>
    <w:rsid w:val="00046226"/>
    <w:rsid w:val="00054B39"/>
    <w:rsid w:val="00056601"/>
    <w:rsid w:val="000579F6"/>
    <w:rsid w:val="000669CB"/>
    <w:rsid w:val="000857DA"/>
    <w:rsid w:val="000B109E"/>
    <w:rsid w:val="000C0168"/>
    <w:rsid w:val="000E2541"/>
    <w:rsid w:val="000E729D"/>
    <w:rsid w:val="000E7F9A"/>
    <w:rsid w:val="00135461"/>
    <w:rsid w:val="00136CA2"/>
    <w:rsid w:val="00137A99"/>
    <w:rsid w:val="0014059A"/>
    <w:rsid w:val="001455E1"/>
    <w:rsid w:val="00194191"/>
    <w:rsid w:val="001F7559"/>
    <w:rsid w:val="00211A80"/>
    <w:rsid w:val="002735EA"/>
    <w:rsid w:val="002B03EC"/>
    <w:rsid w:val="002B4B86"/>
    <w:rsid w:val="002B5DBF"/>
    <w:rsid w:val="002D19E4"/>
    <w:rsid w:val="002E46EB"/>
    <w:rsid w:val="002F11FA"/>
    <w:rsid w:val="00301615"/>
    <w:rsid w:val="00301F76"/>
    <w:rsid w:val="00310C1B"/>
    <w:rsid w:val="00315621"/>
    <w:rsid w:val="003232E7"/>
    <w:rsid w:val="00334D9E"/>
    <w:rsid w:val="003474D5"/>
    <w:rsid w:val="003709C6"/>
    <w:rsid w:val="00394E09"/>
    <w:rsid w:val="003A1C7C"/>
    <w:rsid w:val="003B37FC"/>
    <w:rsid w:val="003C5B57"/>
    <w:rsid w:val="003D3A66"/>
    <w:rsid w:val="003F550B"/>
    <w:rsid w:val="0040465A"/>
    <w:rsid w:val="00413C73"/>
    <w:rsid w:val="00434313"/>
    <w:rsid w:val="00445130"/>
    <w:rsid w:val="00452464"/>
    <w:rsid w:val="00473AF1"/>
    <w:rsid w:val="00477830"/>
    <w:rsid w:val="004A6D37"/>
    <w:rsid w:val="004D03CA"/>
    <w:rsid w:val="004F09E5"/>
    <w:rsid w:val="0051401E"/>
    <w:rsid w:val="0052383C"/>
    <w:rsid w:val="00536806"/>
    <w:rsid w:val="005368A4"/>
    <w:rsid w:val="00552BAB"/>
    <w:rsid w:val="00570880"/>
    <w:rsid w:val="00582D82"/>
    <w:rsid w:val="0058589F"/>
    <w:rsid w:val="005C61C3"/>
    <w:rsid w:val="005E1C15"/>
    <w:rsid w:val="005E34D4"/>
    <w:rsid w:val="005E6DF8"/>
    <w:rsid w:val="005F1B8B"/>
    <w:rsid w:val="005F75B7"/>
    <w:rsid w:val="00600693"/>
    <w:rsid w:val="00617085"/>
    <w:rsid w:val="00617FCA"/>
    <w:rsid w:val="00625001"/>
    <w:rsid w:val="0063006A"/>
    <w:rsid w:val="006438E6"/>
    <w:rsid w:val="00651F6E"/>
    <w:rsid w:val="0066249D"/>
    <w:rsid w:val="0066664E"/>
    <w:rsid w:val="00670EEB"/>
    <w:rsid w:val="0067452B"/>
    <w:rsid w:val="006A0CEF"/>
    <w:rsid w:val="006A13E6"/>
    <w:rsid w:val="006B69BC"/>
    <w:rsid w:val="006C6702"/>
    <w:rsid w:val="006C79E2"/>
    <w:rsid w:val="006D68EE"/>
    <w:rsid w:val="006E0626"/>
    <w:rsid w:val="006E174F"/>
    <w:rsid w:val="006E4CBA"/>
    <w:rsid w:val="006E655A"/>
    <w:rsid w:val="006E736A"/>
    <w:rsid w:val="006E7E6A"/>
    <w:rsid w:val="00795B3C"/>
    <w:rsid w:val="007A4EC5"/>
    <w:rsid w:val="007D72AE"/>
    <w:rsid w:val="008036D6"/>
    <w:rsid w:val="00815535"/>
    <w:rsid w:val="0085673A"/>
    <w:rsid w:val="00861C2C"/>
    <w:rsid w:val="00875751"/>
    <w:rsid w:val="008A4783"/>
    <w:rsid w:val="008B12CC"/>
    <w:rsid w:val="008B46B6"/>
    <w:rsid w:val="008D7ABF"/>
    <w:rsid w:val="009167E7"/>
    <w:rsid w:val="009266B2"/>
    <w:rsid w:val="00940373"/>
    <w:rsid w:val="009D1490"/>
    <w:rsid w:val="009D1E9A"/>
    <w:rsid w:val="00A23431"/>
    <w:rsid w:val="00A40A42"/>
    <w:rsid w:val="00A507C4"/>
    <w:rsid w:val="00A57713"/>
    <w:rsid w:val="00A618EA"/>
    <w:rsid w:val="00A873FF"/>
    <w:rsid w:val="00AA2934"/>
    <w:rsid w:val="00AB3844"/>
    <w:rsid w:val="00AB67A8"/>
    <w:rsid w:val="00AD63E7"/>
    <w:rsid w:val="00B14B41"/>
    <w:rsid w:val="00B31DC1"/>
    <w:rsid w:val="00B606FD"/>
    <w:rsid w:val="00B705BE"/>
    <w:rsid w:val="00B72645"/>
    <w:rsid w:val="00B86ABF"/>
    <w:rsid w:val="00BA260F"/>
    <w:rsid w:val="00BB2E99"/>
    <w:rsid w:val="00BB6803"/>
    <w:rsid w:val="00BC336F"/>
    <w:rsid w:val="00BD58A2"/>
    <w:rsid w:val="00BF66DD"/>
    <w:rsid w:val="00C04E2C"/>
    <w:rsid w:val="00C2020B"/>
    <w:rsid w:val="00C24E4F"/>
    <w:rsid w:val="00C26BEB"/>
    <w:rsid w:val="00C330DA"/>
    <w:rsid w:val="00C63E69"/>
    <w:rsid w:val="00C70454"/>
    <w:rsid w:val="00CA402A"/>
    <w:rsid w:val="00CE66C6"/>
    <w:rsid w:val="00D01B1E"/>
    <w:rsid w:val="00D25DE8"/>
    <w:rsid w:val="00D26656"/>
    <w:rsid w:val="00D3424E"/>
    <w:rsid w:val="00D37167"/>
    <w:rsid w:val="00D412BC"/>
    <w:rsid w:val="00D43346"/>
    <w:rsid w:val="00D740E1"/>
    <w:rsid w:val="00DA2366"/>
    <w:rsid w:val="00DA39EA"/>
    <w:rsid w:val="00DA7A1F"/>
    <w:rsid w:val="00DB772F"/>
    <w:rsid w:val="00E0338B"/>
    <w:rsid w:val="00E150F3"/>
    <w:rsid w:val="00E349BD"/>
    <w:rsid w:val="00E548DF"/>
    <w:rsid w:val="00EA0DD8"/>
    <w:rsid w:val="00EB1112"/>
    <w:rsid w:val="00ED7AC2"/>
    <w:rsid w:val="00EE3975"/>
    <w:rsid w:val="00EE6EBD"/>
    <w:rsid w:val="00F104A4"/>
    <w:rsid w:val="00F26D3A"/>
    <w:rsid w:val="00F66375"/>
    <w:rsid w:val="00F861DF"/>
    <w:rsid w:val="00F9663C"/>
    <w:rsid w:val="00FA0505"/>
    <w:rsid w:val="00FA4387"/>
    <w:rsid w:val="00FB6712"/>
    <w:rsid w:val="00FD335C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E8A5D"/>
  <w15:docId w15:val="{A181EDF6-46DF-47B3-8EBA-84AE9B00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3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0E1"/>
    <w:rPr>
      <w:color w:val="1155CC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4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E1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D740E1"/>
  </w:style>
  <w:style w:type="paragraph" w:styleId="ListParagraph">
    <w:name w:val="List Paragraph"/>
    <w:basedOn w:val="Normal"/>
    <w:uiPriority w:val="34"/>
    <w:qFormat/>
    <w:rsid w:val="00D74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E1"/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40E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C0168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7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7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7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hart" Target="charts/chart3.xm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hart" Target="charts/chart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2.xm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Pama/Dropbox/Papworth_ClinicalResearchFellow/Big_Survey/Unit%20(Response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Pama/Dropbox/Papworth_ClinicalResearchFellow/Big_Survey/Unit%20(Responses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Pama\Dropbox\Papworth_ClinicalResearchFellow\Big_Survey\Unit%20(Responses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 baseline="0"/>
              <a:t>Day of Surgery Admissions (DOSA)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0DF45"/>
            </a:solidFill>
            <a:ln>
              <a:noFill/>
            </a:ln>
            <a:effectLst/>
          </c:spPr>
          <c:invertIfNegative val="0"/>
          <c:cat>
            <c:strRef>
              <c:f>'Day of Surgery Admission '!$G$47:$G$56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'Day of Surgery Admission '!$H$47:$H$56</c:f>
              <c:numCache>
                <c:formatCode>General</c:formatCode>
                <c:ptCount val="10"/>
                <c:pt idx="0">
                  <c:v>9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51-EE40-8A76-CE60071CC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7"/>
        <c:axId val="2066147872"/>
        <c:axId val="2066155440"/>
      </c:barChart>
      <c:catAx>
        <c:axId val="20661478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Percentage</a:t>
                </a:r>
                <a:r>
                  <a:rPr lang="en-GB" sz="1100" b="1" baseline="0"/>
                  <a:t> (%)</a:t>
                </a:r>
                <a:endParaRPr lang="en-GB" sz="1100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6155440"/>
        <c:crosses val="autoZero"/>
        <c:auto val="1"/>
        <c:lblAlgn val="ctr"/>
        <c:lblOffset val="100"/>
        <c:noMultiLvlLbl val="0"/>
      </c:catAx>
      <c:valAx>
        <c:axId val="206615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Number of units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614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'Day of Surgery Admission '!$C$44</c:f>
              <c:strCache>
                <c:ptCount val="1"/>
                <c:pt idx="0">
                  <c:v>What % of unit patients are Day of Surgery Admission (estimate 0-100%)?</c:v>
                </c:pt>
              </c:strCache>
            </c:strRef>
          </c:tx>
          <c:spPr>
            <a:solidFill>
              <a:srgbClr val="F0DF45"/>
            </a:solidFill>
            <a:ln>
              <a:noFill/>
            </a:ln>
            <a:effectLst/>
          </c:spPr>
          <c:invertIfNegative val="0"/>
          <c:cat>
            <c:strRef>
              <c:f>'Day of Surgery Admission '!$A$45:$A$82</c:f>
              <c:strCache>
                <c:ptCount val="38"/>
                <c:pt idx="0">
                  <c:v>Basildon University Hospital</c:v>
                </c:pt>
                <c:pt idx="1">
                  <c:v>King's College Hospital, London</c:v>
                </c:pt>
                <c:pt idx="2">
                  <c:v>Liverpool Heart and Chest Hospital</c:v>
                </c:pt>
                <c:pt idx="3">
                  <c:v>Morriston Hospital, Swansea</c:v>
                </c:pt>
                <c:pt idx="4">
                  <c:v>New Cross Hospital, Wolverhampton</c:v>
                </c:pt>
                <c:pt idx="5">
                  <c:v>Royal Informary of Edinburgh</c:v>
                </c:pt>
                <c:pt idx="6">
                  <c:v>St. James's Hospital, Dublin</c:v>
                </c:pt>
                <c:pt idx="7">
                  <c:v>University Hospital of Wales, Cardiff</c:v>
                </c:pt>
                <c:pt idx="8">
                  <c:v>University Hospital Coventry and Warwickshire</c:v>
                </c:pt>
                <c:pt idx="9">
                  <c:v>Glenfield Hospital, Leicester</c:v>
                </c:pt>
                <c:pt idx="10">
                  <c:v>Guy's Hospital, London</c:v>
                </c:pt>
                <c:pt idx="11">
                  <c:v>James Cook University Hospital, Middlesbrough</c:v>
                </c:pt>
                <c:pt idx="12">
                  <c:v>Queen Elizabeth Hospital, Birmingham</c:v>
                </c:pt>
                <c:pt idx="13">
                  <c:v>Royal Victoria Hospital, Belfast</c:v>
                </c:pt>
                <c:pt idx="14">
                  <c:v>Golden Jubilee National Hospital, Glasgow</c:v>
                </c:pt>
                <c:pt idx="15">
                  <c:v>Royal Papworth Hospital, Cambridge</c:v>
                </c:pt>
                <c:pt idx="16">
                  <c:v>Galway University Hospital</c:v>
                </c:pt>
                <c:pt idx="17">
                  <c:v>Aberdeen Royal Infirmary</c:v>
                </c:pt>
                <c:pt idx="18">
                  <c:v>Harefield Hospital, London</c:v>
                </c:pt>
                <c:pt idx="19">
                  <c:v>The Mater Hospital, Dublin </c:v>
                </c:pt>
                <c:pt idx="20">
                  <c:v>Castle Hill Hospital, Hull</c:v>
                </c:pt>
                <c:pt idx="21">
                  <c:v>St Bartholomew's Hospital, London</c:v>
                </c:pt>
                <c:pt idx="22">
                  <c:v>St George's Hospital, London</c:v>
                </c:pt>
                <c:pt idx="23">
                  <c:v>Freeman Hospital, Newcastle </c:v>
                </c:pt>
                <c:pt idx="24">
                  <c:v>Hammersmith Hospital, London</c:v>
                </c:pt>
                <c:pt idx="25">
                  <c:v>Royal Brompton Hospital, London</c:v>
                </c:pt>
                <c:pt idx="26">
                  <c:v>St James's University Hospital, Leeds</c:v>
                </c:pt>
                <c:pt idx="27">
                  <c:v>University College London Hospital</c:v>
                </c:pt>
                <c:pt idx="28">
                  <c:v>Derriford Hospital, Plymouth </c:v>
                </c:pt>
                <c:pt idx="29">
                  <c:v>Northern General Hospital, Sheffield </c:v>
                </c:pt>
                <c:pt idx="30">
                  <c:v>University Hospital North Midlands, Stoke-On-Trent</c:v>
                </c:pt>
                <c:pt idx="31">
                  <c:v>Bristol Royal Infirmary</c:v>
                </c:pt>
                <c:pt idx="32">
                  <c:v>Norfolk and Norwich University Hospital</c:v>
                </c:pt>
                <c:pt idx="33">
                  <c:v>Nottingham University Hospitals </c:v>
                </c:pt>
                <c:pt idx="34">
                  <c:v>Oxford University Hospitals </c:v>
                </c:pt>
                <c:pt idx="35">
                  <c:v>Southampton General Hospital</c:v>
                </c:pt>
                <c:pt idx="36">
                  <c:v>Victoria Hospital, Blackpool</c:v>
                </c:pt>
                <c:pt idx="37">
                  <c:v>Wythenshawe Hospital, Manchester</c:v>
                </c:pt>
              </c:strCache>
            </c:strRef>
          </c:cat>
          <c:val>
            <c:numRef>
              <c:f>'Day of Surgery Admission '!$C$45:$C$82</c:f>
              <c:numCache>
                <c:formatCode>General</c:formatCode>
                <c:ptCount val="3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20</c:v>
                </c:pt>
                <c:pt idx="10">
                  <c:v>20</c:v>
                </c:pt>
                <c:pt idx="11">
                  <c:v>20</c:v>
                </c:pt>
                <c:pt idx="12">
                  <c:v>20</c:v>
                </c:pt>
                <c:pt idx="13">
                  <c:v>20</c:v>
                </c:pt>
                <c:pt idx="14">
                  <c:v>30</c:v>
                </c:pt>
                <c:pt idx="15">
                  <c:v>30</c:v>
                </c:pt>
                <c:pt idx="16">
                  <c:v>30</c:v>
                </c:pt>
                <c:pt idx="17">
                  <c:v>40</c:v>
                </c:pt>
                <c:pt idx="18">
                  <c:v>50</c:v>
                </c:pt>
                <c:pt idx="19">
                  <c:v>50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70</c:v>
                </c:pt>
                <c:pt idx="24">
                  <c:v>70</c:v>
                </c:pt>
                <c:pt idx="25">
                  <c:v>70</c:v>
                </c:pt>
                <c:pt idx="26">
                  <c:v>80</c:v>
                </c:pt>
                <c:pt idx="27">
                  <c:v>80</c:v>
                </c:pt>
                <c:pt idx="28">
                  <c:v>90</c:v>
                </c:pt>
                <c:pt idx="29">
                  <c:v>90</c:v>
                </c:pt>
                <c:pt idx="30">
                  <c:v>90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B-4B4D-987B-7316AB94F9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7"/>
        <c:axId val="2048633888"/>
        <c:axId val="2068148240"/>
      </c:barChart>
      <c:catAx>
        <c:axId val="2048633888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8148240"/>
        <c:crosses val="autoZero"/>
        <c:auto val="1"/>
        <c:lblAlgn val="ctr"/>
        <c:lblOffset val="100"/>
        <c:noMultiLvlLbl val="0"/>
      </c:catAx>
      <c:valAx>
        <c:axId val="20681482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DOSA</a:t>
                </a:r>
                <a:r>
                  <a:rPr lang="en-GB" sz="1100" b="1" baseline="0"/>
                  <a:t> p</a:t>
                </a:r>
                <a:r>
                  <a:rPr lang="en-GB" sz="1100" b="1"/>
                  <a:t>ercentage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8633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Enhanced Recovery After</a:t>
            </a:r>
            <a:r>
              <a:rPr lang="en-GB" b="1" baseline="0"/>
              <a:t> Surgery (ERAS)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0DF45"/>
            </a:solidFill>
            <a:ln>
              <a:noFill/>
            </a:ln>
            <a:effectLst/>
          </c:spPr>
          <c:invertIfNegative val="0"/>
          <c:cat>
            <c:strRef>
              <c:f>'ERAS Percentage'!$E$48:$E$57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'ERAS Percentage'!$F$48:$F$57</c:f>
              <c:numCache>
                <c:formatCode>General</c:formatCode>
                <c:ptCount val="10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2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3-6041-B4F8-929928BE8F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7"/>
        <c:axId val="2066041136"/>
        <c:axId val="2066054160"/>
      </c:barChart>
      <c:catAx>
        <c:axId val="20660411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50" b="1"/>
                  <a:t>Percentage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6054160"/>
        <c:crosses val="autoZero"/>
        <c:auto val="1"/>
        <c:lblAlgn val="ctr"/>
        <c:lblOffset val="100"/>
        <c:noMultiLvlLbl val="0"/>
      </c:catAx>
      <c:valAx>
        <c:axId val="206605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050" b="1"/>
                  <a:t>Number of units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6041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'ERAS Percentage'!$C$90</c:f>
              <c:strCache>
                <c:ptCount val="1"/>
                <c:pt idx="0">
                  <c:v>What % of unit patients undergo ERAS (estimate 0-100%)?</c:v>
                </c:pt>
              </c:strCache>
            </c:strRef>
          </c:tx>
          <c:spPr>
            <a:solidFill>
              <a:srgbClr val="F0DF45"/>
            </a:solidFill>
            <a:ln>
              <a:noFill/>
            </a:ln>
            <a:effectLst/>
          </c:spPr>
          <c:invertIfNegative val="0"/>
          <c:cat>
            <c:strRef>
              <c:f>'ERAS Percentage'!$A$91:$A$128</c:f>
              <c:strCache>
                <c:ptCount val="38"/>
                <c:pt idx="0">
                  <c:v>Glenfield Hospital, Leicester</c:v>
                </c:pt>
                <c:pt idx="1">
                  <c:v>Harefield Hospital, London</c:v>
                </c:pt>
                <c:pt idx="2">
                  <c:v>King's College Hospital, London</c:v>
                </c:pt>
                <c:pt idx="3">
                  <c:v>Royal Brompton Hospital, London</c:v>
                </c:pt>
                <c:pt idx="4">
                  <c:v>University Hospital Coventry and Warwickshire</c:v>
                </c:pt>
                <c:pt idx="5">
                  <c:v>Morriston Hospital, Swansea</c:v>
                </c:pt>
                <c:pt idx="6">
                  <c:v>Royal Informary of Edinburgh</c:v>
                </c:pt>
                <c:pt idx="7">
                  <c:v>Royal Victoria Hospital, Belfast</c:v>
                </c:pt>
                <c:pt idx="8">
                  <c:v>University Hospital North Midlands, Stoke-On-Trent</c:v>
                </c:pt>
                <c:pt idx="9">
                  <c:v>Castle Hill Hospital, Hull</c:v>
                </c:pt>
                <c:pt idx="10">
                  <c:v>Royal Papworth Hospital, Cambridge</c:v>
                </c:pt>
                <c:pt idx="11">
                  <c:v>Wythenshawe Hospital, Manchester</c:v>
                </c:pt>
                <c:pt idx="12">
                  <c:v>Basildon University Hospital</c:v>
                </c:pt>
                <c:pt idx="13">
                  <c:v>Hammersmith Hospital, London</c:v>
                </c:pt>
                <c:pt idx="14">
                  <c:v>Liverpool Heart and Chest Hospital</c:v>
                </c:pt>
                <c:pt idx="15">
                  <c:v>Victoria Hospital, Blackpool</c:v>
                </c:pt>
                <c:pt idx="16">
                  <c:v>St James's University Hospital, Leeds</c:v>
                </c:pt>
                <c:pt idx="17">
                  <c:v>St George's Hospital, London</c:v>
                </c:pt>
                <c:pt idx="18">
                  <c:v>Aberdeen Royal Infirmary</c:v>
                </c:pt>
                <c:pt idx="19">
                  <c:v>Golden Jubilee National Hospital, Glasgow</c:v>
                </c:pt>
                <c:pt idx="20">
                  <c:v>Norfolk and Norwich University Hospital</c:v>
                </c:pt>
                <c:pt idx="21">
                  <c:v>Queen Elizabeth Hospital, Birmingham</c:v>
                </c:pt>
                <c:pt idx="22">
                  <c:v>St. James's Hospital, Dublin</c:v>
                </c:pt>
                <c:pt idx="23">
                  <c:v>Nottingham University Hospitals</c:v>
                </c:pt>
                <c:pt idx="24">
                  <c:v>The Mater Hospital, Dublin </c:v>
                </c:pt>
                <c:pt idx="25">
                  <c:v>Derriford Hospital, Plymouth </c:v>
                </c:pt>
                <c:pt idx="26">
                  <c:v>Freeman Hospital, Newcastle </c:v>
                </c:pt>
                <c:pt idx="27">
                  <c:v>New Cross Hospital, Wolverhampton</c:v>
                </c:pt>
                <c:pt idx="28">
                  <c:v>Southampton General Hospital</c:v>
                </c:pt>
                <c:pt idx="29">
                  <c:v>University Hospital of Wales, Cardiff</c:v>
                </c:pt>
                <c:pt idx="30">
                  <c:v>Bristol Royal Infirmary</c:v>
                </c:pt>
                <c:pt idx="31">
                  <c:v>Guy's Hospital, London</c:v>
                </c:pt>
                <c:pt idx="32">
                  <c:v>James Cook University Hospital, Middlesbrough</c:v>
                </c:pt>
                <c:pt idx="33">
                  <c:v>Northern General Hospital, Sheffield </c:v>
                </c:pt>
                <c:pt idx="34">
                  <c:v>Oxford University Hospitals </c:v>
                </c:pt>
                <c:pt idx="35">
                  <c:v>St Bartholomew's Hospital, London</c:v>
                </c:pt>
                <c:pt idx="36">
                  <c:v>University College London Hospital</c:v>
                </c:pt>
                <c:pt idx="37">
                  <c:v>Galway University Hospital</c:v>
                </c:pt>
              </c:strCache>
            </c:strRef>
          </c:cat>
          <c:val>
            <c:numRef>
              <c:f>'ERAS Percentage'!$C$91:$C$128</c:f>
              <c:numCache>
                <c:formatCode>General</c:formatCode>
                <c:ptCount val="3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40</c:v>
                </c:pt>
                <c:pt idx="10">
                  <c:v>40</c:v>
                </c:pt>
                <c:pt idx="11">
                  <c:v>40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60</c:v>
                </c:pt>
                <c:pt idx="17">
                  <c:v>60</c:v>
                </c:pt>
                <c:pt idx="18">
                  <c:v>70</c:v>
                </c:pt>
                <c:pt idx="19">
                  <c:v>70</c:v>
                </c:pt>
                <c:pt idx="20">
                  <c:v>70</c:v>
                </c:pt>
                <c:pt idx="21">
                  <c:v>70</c:v>
                </c:pt>
                <c:pt idx="22">
                  <c:v>70</c:v>
                </c:pt>
                <c:pt idx="23">
                  <c:v>80</c:v>
                </c:pt>
                <c:pt idx="24">
                  <c:v>80</c:v>
                </c:pt>
                <c:pt idx="25">
                  <c:v>90</c:v>
                </c:pt>
                <c:pt idx="26">
                  <c:v>90</c:v>
                </c:pt>
                <c:pt idx="27">
                  <c:v>90</c:v>
                </c:pt>
                <c:pt idx="28">
                  <c:v>90</c:v>
                </c:pt>
                <c:pt idx="29">
                  <c:v>90</c:v>
                </c:pt>
                <c:pt idx="30">
                  <c:v>100</c:v>
                </c:pt>
                <c:pt idx="31">
                  <c:v>100</c:v>
                </c:pt>
                <c:pt idx="32">
                  <c:v>100</c:v>
                </c:pt>
                <c:pt idx="33">
                  <c:v>100</c:v>
                </c:pt>
                <c:pt idx="34">
                  <c:v>100</c:v>
                </c:pt>
                <c:pt idx="35">
                  <c:v>100</c:v>
                </c:pt>
                <c:pt idx="36">
                  <c:v>100</c:v>
                </c:pt>
                <c:pt idx="3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F-534E-88F0-6E47ED5DF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overlap val="-27"/>
        <c:axId val="2090065072"/>
        <c:axId val="2092995648"/>
      </c:barChart>
      <c:catAx>
        <c:axId val="209006507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2995648"/>
        <c:crosses val="autoZero"/>
        <c:auto val="1"/>
        <c:lblAlgn val="ctr"/>
        <c:lblOffset val="100"/>
        <c:noMultiLvlLbl val="0"/>
      </c:catAx>
      <c:valAx>
        <c:axId val="20929956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100" b="1"/>
                  <a:t>ERAS Percentage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out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006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Dedicated</a:t>
            </a:r>
            <a:r>
              <a:rPr lang="en-US" b="1" baseline="0"/>
              <a:t> Thoracic surgery ward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'thoracic surgery ward'!$E$44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82-1F4A-B154-66320D2862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82-1F4A-B154-66320D2862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'thoracic surgery ward'!$D$45:$D$46</c:f>
              <c:strCache>
                <c:ptCount val="2"/>
                <c:pt idx="0">
                  <c:v>Yes</c:v>
                </c:pt>
                <c:pt idx="1">
                  <c:v>No </c:v>
                </c:pt>
              </c:strCache>
            </c:strRef>
          </c:cat>
          <c:val>
            <c:numRef>
              <c:f>'thoracic surgery ward'!$E$45:$E$46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82-1F4A-B154-66320D286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554656530002731"/>
          <c:y val="0.17433868523308677"/>
          <c:w val="0.1500891354097979"/>
          <c:h val="5.57626172271157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Dedicated thoracic HDU</a:t>
            </a:r>
            <a:r>
              <a:rPr lang="en-GB" b="1" baseline="0"/>
              <a:t>/post-op recovery area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8C-0642-A224-56EB056638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8C-0642-A224-56EB056638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'thoracic HDU post-op recovery a'!$D$46:$D$47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'thoracic HDU post-op recovery a'!$E$46:$E$47</c:f>
              <c:numCache>
                <c:formatCode>General</c:formatCode>
                <c:ptCount val="2"/>
                <c:pt idx="0">
                  <c:v>21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8C-0642-A224-56EB0566380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8259026260460895"/>
          <c:y val="0.24973618563166328"/>
          <c:w val="0.11335334130354124"/>
          <c:h val="5.64585046338234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Approval for thoracic surgery robotic</a:t>
            </a:r>
            <a:r>
              <a:rPr lang="en-GB" b="1" baseline="0"/>
              <a:t> programme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A5-7249-8156-DE33387C28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A5-7249-8156-DE33387C28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'ApprovedThoracic Surgery roboti'!$E$49:$E$50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'ApprovedThoracic Surgery roboti'!$F$49:$F$50</c:f>
              <c:numCache>
                <c:formatCode>General</c:formatCode>
                <c:ptCount val="2"/>
                <c:pt idx="0">
                  <c:v>22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A5-7249-8156-DE33387C2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391506789205515"/>
          <c:y val="0.1886892079666512"/>
          <c:w val="0.11171562533011548"/>
          <c:h val="4.8113205306350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Started thoracic surgery robotic operations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CF-834B-B8D9-9AAFF7BA4F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CF-834B-B8D9-9AAFF7BA4F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'StartedThoracic Surgery robotic'!$F$49:$F$50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'StartedThoracic Surgery robotic'!$G$49:$G$50</c:f>
              <c:numCache>
                <c:formatCode>General</c:formatCode>
                <c:ptCount val="2"/>
                <c:pt idx="0">
                  <c:v>18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CF-834B-B8D9-9AAFF7BA4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371347331583539"/>
          <c:y val="0.2919003353747448"/>
          <c:w val="0.10945646202718087"/>
          <c:h val="5.52843242948184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5" ma:contentTypeDescription="Create a new document." ma:contentTypeScope="" ma:versionID="8cd2b1e7d65f7b28706aeedfd1be1c7c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fec02bd11ba75361452557b138b304c9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ADC77-E2E0-4979-A741-6E11E96B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7E27-4145-4D7D-BBA3-2560C478E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9BE7A-91C6-4D3D-874E-7CD53DF1E3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Pama</dc:creator>
  <cp:keywords/>
  <dc:description/>
  <cp:lastModifiedBy>Claudia Pama</cp:lastModifiedBy>
  <cp:revision>2</cp:revision>
  <cp:lastPrinted>2022-12-22T15:13:00Z</cp:lastPrinted>
  <dcterms:created xsi:type="dcterms:W3CDTF">2023-01-04T14:15:00Z</dcterms:created>
  <dcterms:modified xsi:type="dcterms:W3CDTF">2023-01-04T14:15:00Z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